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2A" w:rsidRDefault="00232E12">
      <w:pPr>
        <w:pStyle w:val="Center"/>
        <w:rPr>
          <w:rStyle w:val="Bold"/>
          <w:rFonts w:ascii="Times New Roman" w:hAnsi="Times New Roman"/>
          <w:sz w:val="24"/>
        </w:rPr>
      </w:pPr>
      <w:bookmarkStart w:id="0" w:name="_GoBack"/>
      <w:bookmarkEnd w:id="0"/>
      <w:r>
        <w:rPr>
          <w:rStyle w:val="Bold"/>
          <w:rFonts w:ascii="Times New Roman" w:hAnsi="Times New Roman"/>
          <w:sz w:val="24"/>
        </w:rPr>
        <w:t>IDAPA 10</w:t>
      </w:r>
      <w:r>
        <w:rPr>
          <w:rStyle w:val="Bold"/>
          <w:rFonts w:ascii="Times New Roman" w:hAnsi="Times New Roman"/>
          <w:sz w:val="24"/>
        </w:rPr>
        <w:br/>
        <w:t>TITLE 01</w:t>
      </w:r>
      <w:r>
        <w:rPr>
          <w:rStyle w:val="Bold"/>
          <w:rFonts w:ascii="Times New Roman" w:hAnsi="Times New Roman"/>
          <w:sz w:val="24"/>
        </w:rPr>
        <w:br/>
        <w:t>CHAPTER 05</w:t>
      </w:r>
    </w:p>
    <w:p w:rsidR="00B9512A" w:rsidRDefault="00232E12">
      <w:pPr>
        <w:pStyle w:val="TitleTOC"/>
        <w:rPr>
          <w:rStyle w:val="Bold"/>
          <w:rFonts w:ascii="Times New Roman" w:hAnsi="Times New Roman"/>
          <w:caps w:val="0"/>
          <w:sz w:val="24"/>
        </w:rPr>
      </w:pPr>
      <w:r>
        <w:rPr>
          <w:rStyle w:val="Bold"/>
          <w:rFonts w:ascii="Times New Roman" w:hAnsi="Times New Roman"/>
          <w:caps w:val="0"/>
          <w:sz w:val="24"/>
        </w:rPr>
        <w:t xml:space="preserve">10.01.05 - </w:t>
      </w:r>
      <w:bookmarkStart w:id="1" w:name="_Hlk10037958"/>
      <w:r>
        <w:rPr>
          <w:rStyle w:val="Bold"/>
          <w:rFonts w:ascii="Times New Roman" w:hAnsi="Times New Roman"/>
          <w:caps w:val="0"/>
          <w:sz w:val="24"/>
        </w:rPr>
        <w:t>Rules of Military or Veteran Licensure</w:t>
      </w:r>
      <w:bookmarkEnd w:id="1"/>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000.</w:t>
      </w:r>
      <w:r>
        <w:rPr>
          <w:rStyle w:val="Bold"/>
          <w:rFonts w:ascii="Times New Roman" w:hAnsi="Times New Roman"/>
          <w:caps w:val="0"/>
          <w:sz w:val="24"/>
        </w:rPr>
        <w:tab/>
        <w:t>Legal Authority.</w:t>
      </w:r>
    </w:p>
    <w:p w:rsidR="00B9512A" w:rsidRDefault="00232E12">
      <w:pPr>
        <w:pStyle w:val="Body"/>
        <w:rPr>
          <w:rStyle w:val="Bold"/>
          <w:rFonts w:ascii="Times New Roman" w:hAnsi="Times New Roman"/>
          <w:sz w:val="24"/>
        </w:rPr>
      </w:pPr>
      <w:r>
        <w:rPr>
          <w:rStyle w:val="Bold"/>
          <w:rFonts w:ascii="Times New Roman" w:hAnsi="Times New Roman"/>
          <w:sz w:val="24"/>
        </w:rPr>
        <w:t>These rules are promulgated as authorized by Sections 67</w:t>
      </w:r>
      <w:r>
        <w:rPr>
          <w:rStyle w:val="Bold"/>
          <w:rFonts w:ascii="Times New Roman" w:hAnsi="Times New Roman"/>
          <w:sz w:val="24"/>
        </w:rPr>
        <w:noBreakHyphen/>
        <w:t>9304 through 67-9306, Idaho Code.</w:t>
      </w:r>
      <w:r>
        <w:rPr>
          <w:rStyle w:val="Bold"/>
          <w:rFonts w:ascii="Times New Roman" w:hAnsi="Times New Roman"/>
          <w:sz w:val="24"/>
        </w:rPr>
        <w:tab/>
      </w:r>
    </w:p>
    <w:p w:rsidR="00B9512A" w:rsidRDefault="00232E12">
      <w:pPr>
        <w:pStyle w:val="Body"/>
        <w:rPr>
          <w:rStyle w:val="Bold"/>
          <w:rFonts w:ascii="Times New Roman" w:hAnsi="Times New Roman"/>
          <w:sz w:val="24"/>
        </w:rPr>
      </w:pPr>
      <w:r>
        <w:rPr>
          <w:rStyle w:val="Bold"/>
          <w:rFonts w:ascii="Times New Roman" w:hAnsi="Times New Roman"/>
          <w:sz w:val="24"/>
        </w:rPr>
        <w:tab/>
      </w:r>
      <w:r>
        <w:rPr>
          <w:rStyle w:val="Bold"/>
          <w:rFonts w:ascii="Times New Roman" w:hAnsi="Times New Roman"/>
          <w:sz w:val="24"/>
        </w:rPr>
        <w:tab/>
      </w:r>
      <w:r>
        <w:rPr>
          <w:rStyle w:val="Bold"/>
          <w:rFonts w:ascii="Times New Roman" w:hAnsi="Times New Roman"/>
          <w:sz w:val="24"/>
        </w:rPr>
        <w:tab/>
        <w:t>(X-X-XX)</w:t>
      </w: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001.</w:t>
      </w:r>
      <w:r>
        <w:rPr>
          <w:rStyle w:val="Bold"/>
          <w:rFonts w:ascii="Times New Roman" w:hAnsi="Times New Roman"/>
          <w:caps w:val="0"/>
          <w:sz w:val="24"/>
        </w:rPr>
        <w:tab/>
        <w:t xml:space="preserve">Title </w:t>
      </w:r>
      <w:proofErr w:type="gramStart"/>
      <w:r>
        <w:rPr>
          <w:rStyle w:val="Bold"/>
          <w:rFonts w:ascii="Times New Roman" w:hAnsi="Times New Roman"/>
          <w:caps w:val="0"/>
          <w:sz w:val="24"/>
        </w:rPr>
        <w:t>And</w:t>
      </w:r>
      <w:proofErr w:type="gramEnd"/>
      <w:r>
        <w:rPr>
          <w:rStyle w:val="Bold"/>
          <w:rFonts w:ascii="Times New Roman" w:hAnsi="Times New Roman"/>
          <w:caps w:val="0"/>
          <w:sz w:val="24"/>
        </w:rPr>
        <w:t xml:space="preserve"> Scope.</w:t>
      </w:r>
    </w:p>
    <w:p w:rsidR="00B9512A" w:rsidRDefault="00B9512A">
      <w:pPr>
        <w:pStyle w:val="Body"/>
        <w:rPr>
          <w:rStyle w:val="Bold"/>
          <w:rFonts w:ascii="Times New Roman" w:hAnsi="Times New Roman"/>
          <w:sz w:val="24"/>
        </w:rPr>
      </w:pPr>
    </w:p>
    <w:p w:rsidR="00B9512A" w:rsidRDefault="00232E12">
      <w:pPr>
        <w:pStyle w:val="Body"/>
        <w:rPr>
          <w:rStyle w:val="Bold"/>
          <w:rFonts w:ascii="Times New Roman" w:hAnsi="Times New Roman"/>
          <w:sz w:val="24"/>
        </w:rPr>
      </w:pPr>
      <w:r>
        <w:rPr>
          <w:rStyle w:val="Bold"/>
          <w:rFonts w:ascii="Times New Roman" w:hAnsi="Times New Roman"/>
          <w:sz w:val="24"/>
        </w:rPr>
        <w:tab/>
        <w:t>01.</w:t>
      </w:r>
      <w:r>
        <w:rPr>
          <w:rStyle w:val="Bold"/>
          <w:rFonts w:ascii="Times New Roman" w:hAnsi="Times New Roman"/>
          <w:sz w:val="24"/>
        </w:rPr>
        <w:tab/>
        <w:t>Title. These rules shall be cited in full as Idaho Board of Licensure of Professional Engineers and Professional Land Surveyors, IDAPA 10.01.05, “</w:t>
      </w:r>
      <w:r w:rsidR="00A65982">
        <w:rPr>
          <w:rStyle w:val="Bold"/>
          <w:rFonts w:ascii="Times New Roman" w:hAnsi="Times New Roman"/>
          <w:sz w:val="24"/>
        </w:rPr>
        <w:t>Rules of Military or Veteran Licensure</w:t>
      </w:r>
      <w:r>
        <w:rPr>
          <w:rStyle w:val="Bold"/>
          <w:rFonts w:ascii="Times New Roman" w:hAnsi="Times New Roman"/>
          <w:sz w:val="24"/>
        </w:rPr>
        <w:t>.”</w:t>
      </w:r>
      <w:r>
        <w:rPr>
          <w:rStyle w:val="Bold"/>
          <w:rFonts w:ascii="Times New Roman" w:hAnsi="Times New Roman"/>
          <w:sz w:val="24"/>
        </w:rPr>
        <w:tab/>
      </w:r>
      <w:r>
        <w:rPr>
          <w:rStyle w:val="Bold"/>
          <w:rFonts w:ascii="Times New Roman" w:hAnsi="Times New Roman"/>
          <w:sz w:val="24"/>
        </w:rPr>
        <w:tab/>
        <w:t>(X-X-XX)</w:t>
      </w:r>
    </w:p>
    <w:p w:rsidR="00B9512A" w:rsidRDefault="00B9512A">
      <w:pPr>
        <w:pStyle w:val="Body"/>
        <w:rPr>
          <w:rStyle w:val="Bold"/>
          <w:rFonts w:ascii="Times New Roman" w:hAnsi="Times New Roman"/>
          <w:sz w:val="24"/>
        </w:rPr>
      </w:pPr>
    </w:p>
    <w:p w:rsidR="00B9512A" w:rsidRDefault="00232E12">
      <w:pPr>
        <w:pStyle w:val="Body"/>
        <w:rPr>
          <w:rStyle w:val="Bold"/>
          <w:rFonts w:ascii="Times New Roman" w:hAnsi="Times New Roman"/>
          <w:sz w:val="24"/>
        </w:rPr>
      </w:pPr>
      <w:r>
        <w:rPr>
          <w:rStyle w:val="Bold"/>
          <w:rFonts w:ascii="Times New Roman" w:hAnsi="Times New Roman"/>
          <w:sz w:val="24"/>
        </w:rPr>
        <w:tab/>
        <w:t>02.</w:t>
      </w:r>
      <w:r>
        <w:rPr>
          <w:rStyle w:val="Bold"/>
          <w:rFonts w:ascii="Times New Roman" w:hAnsi="Times New Roman"/>
          <w:sz w:val="24"/>
        </w:rPr>
        <w:tab/>
        <w:t>Scope. In order to safeguard the life, health, property and welfare of the public  and to provide for a process for licensure of members of the mil</w:t>
      </w:r>
      <w:r w:rsidR="00A65982">
        <w:rPr>
          <w:rStyle w:val="Bold"/>
          <w:rFonts w:ascii="Times New Roman" w:hAnsi="Times New Roman"/>
          <w:sz w:val="24"/>
        </w:rPr>
        <w:t>i</w:t>
      </w:r>
      <w:r>
        <w:rPr>
          <w:rStyle w:val="Bold"/>
          <w:rFonts w:ascii="Times New Roman" w:hAnsi="Times New Roman"/>
          <w:sz w:val="24"/>
        </w:rPr>
        <w:t xml:space="preserve">tary, veterans, and the spouses of such persons in Idaho, the following </w:t>
      </w:r>
      <w:r w:rsidR="00A65982" w:rsidRPr="00A65982">
        <w:rPr>
          <w:rStyle w:val="Bold"/>
          <w:rFonts w:ascii="Times New Roman" w:hAnsi="Times New Roman"/>
          <w:sz w:val="24"/>
        </w:rPr>
        <w:t>Rules of Military or Veteran Licensure</w:t>
      </w:r>
      <w:r>
        <w:rPr>
          <w:rStyle w:val="Bold"/>
          <w:rFonts w:ascii="Times New Roman" w:hAnsi="Times New Roman"/>
          <w:sz w:val="24"/>
        </w:rPr>
        <w:t>, hereinafter referred to as Rules, have been promulgated in accordance with Section 67-9304 through 9306, Idaho Code, and shall be binding in the state of Idaho upon every member of the military, veteran, or spouse of such a person seeking licensure to practice as a Professional Engineer or a Professional Land Surveyor, or both, in Idaho.</w:t>
      </w:r>
      <w:r>
        <w:rPr>
          <w:rStyle w:val="Bold"/>
          <w:rFonts w:ascii="Times New Roman" w:hAnsi="Times New Roman"/>
          <w:sz w:val="24"/>
        </w:rPr>
        <w:tab/>
        <w:t>(X-X-XX)</w:t>
      </w:r>
      <w:r>
        <w:rPr>
          <w:rStyle w:val="Bold"/>
          <w:rFonts w:ascii="Times New Roman" w:hAnsi="Times New Roman"/>
          <w:sz w:val="24"/>
        </w:rPr>
        <w:tab/>
      </w:r>
      <w:r>
        <w:rPr>
          <w:rStyle w:val="Bold"/>
          <w:rFonts w:ascii="Times New Roman" w:hAnsi="Times New Roman"/>
          <w:sz w:val="24"/>
        </w:rPr>
        <w:tab/>
      </w:r>
      <w:r>
        <w:rPr>
          <w:rStyle w:val="Bold"/>
          <w:rFonts w:ascii="Times New Roman" w:hAnsi="Times New Roman"/>
          <w:sz w:val="24"/>
        </w:rPr>
        <w:tab/>
      </w: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002.</w:t>
      </w:r>
      <w:r>
        <w:rPr>
          <w:rStyle w:val="Bold"/>
          <w:rFonts w:ascii="Times New Roman" w:hAnsi="Times New Roman"/>
          <w:caps w:val="0"/>
          <w:sz w:val="24"/>
        </w:rPr>
        <w:tab/>
        <w:t>Administrative Appeals.</w:t>
      </w:r>
    </w:p>
    <w:p w:rsidR="00B9512A" w:rsidRDefault="00232E12">
      <w:pPr>
        <w:pStyle w:val="Body"/>
        <w:rPr>
          <w:rStyle w:val="Bold"/>
          <w:rFonts w:ascii="Times New Roman" w:hAnsi="Times New Roman"/>
          <w:sz w:val="24"/>
        </w:rPr>
      </w:pPr>
      <w:r>
        <w:rPr>
          <w:rStyle w:val="Bold"/>
          <w:rFonts w:ascii="Times New Roman" w:hAnsi="Times New Roman"/>
          <w:sz w:val="24"/>
        </w:rPr>
        <w:t>Persons desiring to contest the actions taken in accordance with these rules shall seek administrative relief under the Attorney General’s Rules, IDAPA 04.11.01, “Idaho Rules of Administrative Procedure of the Attorney General.”</w:t>
      </w:r>
      <w:r>
        <w:rPr>
          <w:rStyle w:val="Bold"/>
          <w:rFonts w:ascii="Times New Roman" w:hAnsi="Times New Roman"/>
          <w:sz w:val="24"/>
        </w:rPr>
        <w:tab/>
        <w:t>(X-X-XX)</w:t>
      </w: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003.</w:t>
      </w:r>
      <w:r>
        <w:rPr>
          <w:rStyle w:val="Bold"/>
          <w:rFonts w:ascii="Times New Roman" w:hAnsi="Times New Roman"/>
          <w:caps w:val="0"/>
          <w:sz w:val="24"/>
        </w:rPr>
        <w:tab/>
        <w:t>Written Interpretations.</w:t>
      </w:r>
    </w:p>
    <w:p w:rsidR="00B9512A" w:rsidRDefault="00232E12">
      <w:pPr>
        <w:pStyle w:val="Body"/>
        <w:rPr>
          <w:rStyle w:val="Bold"/>
          <w:rFonts w:ascii="Times New Roman" w:hAnsi="Times New Roman"/>
          <w:sz w:val="24"/>
        </w:rPr>
      </w:pPr>
      <w:r>
        <w:rPr>
          <w:rStyle w:val="Bold"/>
          <w:rFonts w:ascii="Times New Roman" w:hAnsi="Times New Roman"/>
          <w:sz w:val="24"/>
        </w:rPr>
        <w:t>In accordance with Section 67</w:t>
      </w:r>
      <w:r>
        <w:rPr>
          <w:rStyle w:val="Bold"/>
          <w:rFonts w:ascii="Times New Roman" w:hAnsi="Times New Roman"/>
          <w:sz w:val="24"/>
        </w:rPr>
        <w:noBreakHyphen/>
        <w:t>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w:t>
      </w:r>
      <w:r>
        <w:rPr>
          <w:rStyle w:val="Bold"/>
          <w:rFonts w:ascii="Times New Roman" w:hAnsi="Times New Roman"/>
          <w:sz w:val="24"/>
        </w:rPr>
        <w:tab/>
        <w:t>(X-X-XX)</w:t>
      </w: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004.</w:t>
      </w:r>
      <w:r>
        <w:rPr>
          <w:rStyle w:val="Bold"/>
          <w:rFonts w:ascii="Times New Roman" w:hAnsi="Times New Roman"/>
          <w:caps w:val="0"/>
          <w:sz w:val="24"/>
        </w:rPr>
        <w:tab/>
      </w:r>
      <w:r>
        <w:rPr>
          <w:rStyle w:val="Bold"/>
          <w:rFonts w:ascii="Times New Roman" w:hAnsi="Times New Roman"/>
          <w:caps w:val="0"/>
          <w:sz w:val="24"/>
        </w:rPr>
        <w:fldChar w:fldCharType="begin"/>
      </w:r>
      <w:r>
        <w:rPr>
          <w:rStyle w:val="Bold"/>
          <w:rFonts w:ascii="Times New Roman" w:hAnsi="Times New Roman"/>
          <w:caps w:val="0"/>
          <w:sz w:val="24"/>
        </w:rPr>
        <w:instrText>XE "Definitions, IDAPA 10.01.04, Rules Of Continuing Professional Development"</w:instrText>
      </w:r>
      <w:r>
        <w:rPr>
          <w:rStyle w:val="Bold"/>
          <w:rFonts w:ascii="Times New Roman" w:hAnsi="Times New Roman"/>
          <w:caps w:val="0"/>
          <w:sz w:val="24"/>
        </w:rPr>
        <w:fldChar w:fldCharType="end"/>
      </w:r>
      <w:r>
        <w:rPr>
          <w:rStyle w:val="Bold"/>
          <w:rFonts w:ascii="Times New Roman" w:hAnsi="Times New Roman"/>
          <w:caps w:val="0"/>
          <w:sz w:val="24"/>
        </w:rPr>
        <w:t>Definitions.</w:t>
      </w:r>
    </w:p>
    <w:p w:rsidR="00B9512A" w:rsidRDefault="00232E12">
      <w:pPr>
        <w:pStyle w:val="Body"/>
        <w:rPr>
          <w:rStyle w:val="Bold"/>
          <w:rFonts w:ascii="Times New Roman" w:hAnsi="Times New Roman"/>
          <w:sz w:val="24"/>
        </w:rPr>
      </w:pPr>
      <w:r>
        <w:rPr>
          <w:rStyle w:val="Bold"/>
          <w:rFonts w:ascii="Times New Roman" w:hAnsi="Times New Roman"/>
          <w:sz w:val="24"/>
        </w:rPr>
        <w:t>For the purposes of these rules, the following terms are used as defined below:</w:t>
      </w:r>
      <w:r>
        <w:rPr>
          <w:rStyle w:val="Bold"/>
          <w:rFonts w:ascii="Times New Roman" w:hAnsi="Times New Roman"/>
          <w:sz w:val="24"/>
        </w:rPr>
        <w:tab/>
      </w:r>
    </w:p>
    <w:p w:rsidR="00B9512A" w:rsidRDefault="00B9512A">
      <w:pPr>
        <w:pStyle w:val="Body"/>
        <w:rPr>
          <w:rStyle w:val="Bold"/>
          <w:rFonts w:ascii="Times New Roman" w:hAnsi="Times New Roman"/>
          <w:sz w:val="24"/>
        </w:rPr>
      </w:pPr>
    </w:p>
    <w:p w:rsidR="00B9512A" w:rsidRDefault="00232E12">
      <w:pPr>
        <w:pStyle w:val="Body"/>
        <w:numPr>
          <w:ilvl w:val="0"/>
          <w:numId w:val="1"/>
        </w:numPr>
        <w:ind w:left="720" w:hanging="360"/>
        <w:rPr>
          <w:rStyle w:val="Bold"/>
          <w:rFonts w:ascii="Times New Roman" w:hAnsi="Times New Roman"/>
          <w:sz w:val="24"/>
        </w:rPr>
      </w:pPr>
      <w:r>
        <w:rPr>
          <w:rStyle w:val="Bold"/>
          <w:rFonts w:ascii="Times New Roman" w:hAnsi="Times New Roman"/>
          <w:sz w:val="24"/>
        </w:rPr>
        <w:t xml:space="preserve">Application:  A </w:t>
      </w:r>
      <w:r w:rsidR="00A65982">
        <w:rPr>
          <w:rStyle w:val="Bold"/>
          <w:rFonts w:ascii="Times New Roman" w:hAnsi="Times New Roman"/>
          <w:sz w:val="24"/>
        </w:rPr>
        <w:t>Board</w:t>
      </w:r>
      <w:r>
        <w:rPr>
          <w:rStyle w:val="Bold"/>
          <w:rFonts w:ascii="Times New Roman" w:hAnsi="Times New Roman"/>
          <w:sz w:val="24"/>
        </w:rPr>
        <w:t xml:space="preserve"> approved form for a service member or veteran (or their spouse) to apply for licensure.</w:t>
      </w:r>
      <w:r>
        <w:rPr>
          <w:rStyle w:val="Bold"/>
          <w:rFonts w:ascii="Times New Roman" w:hAnsi="Times New Roman"/>
          <w:sz w:val="24"/>
        </w:rPr>
        <w:tab/>
        <w:t>(X-X-XX)</w:t>
      </w:r>
    </w:p>
    <w:p w:rsidR="00B9512A" w:rsidRDefault="00232E12">
      <w:pPr>
        <w:pStyle w:val="Body"/>
        <w:numPr>
          <w:ilvl w:val="0"/>
          <w:numId w:val="1"/>
        </w:numPr>
        <w:ind w:left="720" w:hanging="360"/>
        <w:rPr>
          <w:rStyle w:val="Bold"/>
          <w:rFonts w:ascii="Times New Roman" w:hAnsi="Times New Roman"/>
          <w:sz w:val="24"/>
        </w:rPr>
      </w:pPr>
      <w:r>
        <w:rPr>
          <w:rStyle w:val="Bold"/>
          <w:rFonts w:ascii="Times New Roman" w:hAnsi="Times New Roman"/>
          <w:sz w:val="24"/>
        </w:rPr>
        <w:t xml:space="preserve">Proof of military service:  The forms DD-214 and DD-215 are the Department of Defense forms that verify the service of a member upon discharge or separation from the service.  </w:t>
      </w:r>
      <w:proofErr w:type="gramStart"/>
      <w:r>
        <w:rPr>
          <w:rStyle w:val="Bold"/>
          <w:rFonts w:ascii="Times New Roman" w:hAnsi="Times New Roman"/>
          <w:sz w:val="24"/>
        </w:rPr>
        <w:t>In order to</w:t>
      </w:r>
      <w:proofErr w:type="gramEnd"/>
      <w:r>
        <w:rPr>
          <w:rStyle w:val="Bold"/>
          <w:rFonts w:ascii="Times New Roman" w:hAnsi="Times New Roman"/>
          <w:sz w:val="24"/>
        </w:rPr>
        <w:t xml:space="preserve"> show eligibility for licensure under Idaho Code Title 67, Chapter 93, </w:t>
      </w:r>
      <w:r>
        <w:rPr>
          <w:rStyle w:val="Bold"/>
          <w:rFonts w:ascii="Times New Roman" w:hAnsi="Times New Roman"/>
          <w:color w:val="auto"/>
          <w:sz w:val="24"/>
        </w:rPr>
        <w:t xml:space="preserve">the applicant shall provide </w:t>
      </w:r>
      <w:r>
        <w:rPr>
          <w:rStyle w:val="Bold"/>
          <w:rFonts w:ascii="Times New Roman" w:hAnsi="Times New Roman"/>
          <w:sz w:val="24"/>
        </w:rPr>
        <w:t xml:space="preserve">a certified copy of their DD-214 or DD-215 as appropriate. If still on active duty, the applicant shall cause a letter from their command to be sent directly to </w:t>
      </w:r>
      <w:r>
        <w:rPr>
          <w:rStyle w:val="Bold"/>
          <w:rFonts w:ascii="Times New Roman" w:hAnsi="Times New Roman"/>
          <w:sz w:val="24"/>
        </w:rPr>
        <w:lastRenderedPageBreak/>
        <w:t xml:space="preserve">the </w:t>
      </w:r>
      <w:r w:rsidR="00A65982">
        <w:rPr>
          <w:rStyle w:val="Bold"/>
          <w:rFonts w:ascii="Times New Roman" w:hAnsi="Times New Roman"/>
          <w:sz w:val="24"/>
        </w:rPr>
        <w:t>Board</w:t>
      </w:r>
      <w:r>
        <w:rPr>
          <w:rStyle w:val="Bold"/>
          <w:rFonts w:ascii="Times New Roman" w:hAnsi="Times New Roman"/>
          <w:sz w:val="24"/>
        </w:rPr>
        <w:t xml:space="preserve"> indicating their current service commencement date and attest to their current duty station.  If a spouse of a military member or veteran is applying, then the same documentation is required for their military sponsor and a copy of their military dependent identification card indicating the name of their sponsor or in the case of a discharged veteran a copy of the veterans’ DD-214 or DD-215 and marriage license along with the spouse’s identification shall be provided to the </w:t>
      </w:r>
      <w:r w:rsidR="00A65982">
        <w:rPr>
          <w:rStyle w:val="Bold"/>
          <w:rFonts w:ascii="Times New Roman" w:hAnsi="Times New Roman"/>
          <w:sz w:val="24"/>
        </w:rPr>
        <w:t>Board</w:t>
      </w:r>
      <w:r>
        <w:rPr>
          <w:rStyle w:val="Bold"/>
          <w:rFonts w:ascii="Times New Roman" w:hAnsi="Times New Roman"/>
          <w:sz w:val="24"/>
        </w:rPr>
        <w:t>.</w:t>
      </w:r>
      <w:r>
        <w:rPr>
          <w:rStyle w:val="Bold"/>
          <w:rFonts w:ascii="Times New Roman" w:hAnsi="Times New Roman"/>
          <w:sz w:val="24"/>
        </w:rPr>
        <w:tab/>
        <w:t>(X-X-XX)</w:t>
      </w:r>
    </w:p>
    <w:p w:rsidR="00B9512A" w:rsidRDefault="00232E12">
      <w:pPr>
        <w:pStyle w:val="Body"/>
        <w:numPr>
          <w:ilvl w:val="0"/>
          <w:numId w:val="1"/>
        </w:numPr>
        <w:ind w:left="720" w:hanging="360"/>
        <w:rPr>
          <w:rStyle w:val="Bold"/>
          <w:rFonts w:ascii="Times New Roman" w:hAnsi="Times New Roman"/>
          <w:sz w:val="24"/>
        </w:rPr>
      </w:pPr>
      <w:r>
        <w:rPr>
          <w:rStyle w:val="Bold"/>
          <w:rFonts w:ascii="Times New Roman" w:hAnsi="Times New Roman"/>
          <w:sz w:val="24"/>
        </w:rPr>
        <w:t xml:space="preserve">Military training transcript.  A record created by and held by the military or a transcript generated by an authority recognized by the Department of Defense or any branch of the military, reflecting the training and education completed by the service member.  The applicant or spouse shall have transmitted directly to the </w:t>
      </w:r>
      <w:r w:rsidR="00A65982">
        <w:rPr>
          <w:rStyle w:val="Bold"/>
          <w:rFonts w:ascii="Times New Roman" w:hAnsi="Times New Roman"/>
          <w:sz w:val="24"/>
        </w:rPr>
        <w:t>Board</w:t>
      </w:r>
      <w:r>
        <w:rPr>
          <w:rStyle w:val="Bold"/>
          <w:rFonts w:ascii="Times New Roman" w:hAnsi="Times New Roman"/>
          <w:sz w:val="24"/>
        </w:rPr>
        <w:t xml:space="preserve"> a current copy of official records and/or such a transcript reflecting their military training in addition to the regular transcripts from the college or university granting their degree.</w:t>
      </w:r>
      <w:r>
        <w:rPr>
          <w:rStyle w:val="Bold"/>
          <w:rFonts w:ascii="Times New Roman" w:hAnsi="Times New Roman"/>
          <w:sz w:val="24"/>
        </w:rPr>
        <w:tab/>
        <w:t>(X-X-XX)</w:t>
      </w:r>
    </w:p>
    <w:p w:rsidR="00B9512A" w:rsidRDefault="00232E12">
      <w:pPr>
        <w:pStyle w:val="Body"/>
        <w:numPr>
          <w:ilvl w:val="0"/>
          <w:numId w:val="1"/>
        </w:numPr>
        <w:ind w:left="720" w:hanging="360"/>
        <w:rPr>
          <w:rStyle w:val="Bold"/>
          <w:rFonts w:ascii="Times New Roman" w:hAnsi="Times New Roman"/>
          <w:sz w:val="24"/>
        </w:rPr>
      </w:pPr>
      <w:r>
        <w:rPr>
          <w:rStyle w:val="Bold"/>
          <w:rFonts w:ascii="Times New Roman" w:hAnsi="Times New Roman"/>
          <w:sz w:val="24"/>
        </w:rPr>
        <w:t>NCEES Record.  A record created at and held by the National Council of Examiners for Engineering and Surveying (NCEES) that contains the transcripts, exam verifications, license verifications, references and experience records of an applicant.  The applicant (military member, veteran or spouse of same) may have transmitted to the Board a current copy of their NCEES Record, if they have one, in lieu of their experience form, academic transcript(s), reference(s) and verification of professional examinations.</w:t>
      </w:r>
      <w:r>
        <w:rPr>
          <w:rStyle w:val="Bold"/>
          <w:rFonts w:ascii="Times New Roman" w:hAnsi="Times New Roman"/>
          <w:sz w:val="24"/>
        </w:rPr>
        <w:tab/>
        <w:t>(X-X-XX)</w:t>
      </w:r>
    </w:p>
    <w:p w:rsidR="00B9512A" w:rsidRDefault="00232E12">
      <w:pPr>
        <w:pStyle w:val="Body"/>
        <w:rPr>
          <w:rStyle w:val="Bold"/>
          <w:rFonts w:ascii="Times New Roman" w:hAnsi="Times New Roman"/>
          <w:sz w:val="24"/>
        </w:rPr>
      </w:pPr>
      <w:r>
        <w:rPr>
          <w:rStyle w:val="Bold"/>
          <w:rFonts w:ascii="Times New Roman" w:hAnsi="Times New Roman"/>
          <w:sz w:val="24"/>
        </w:rPr>
        <w:tab/>
      </w:r>
    </w:p>
    <w:p w:rsidR="00B9512A" w:rsidRDefault="00232E12">
      <w:pPr>
        <w:pStyle w:val="Body"/>
        <w:rPr>
          <w:rStyle w:val="Bold"/>
          <w:rFonts w:ascii="Times New Roman" w:hAnsi="Times New Roman"/>
          <w:sz w:val="24"/>
        </w:rPr>
      </w:pPr>
      <w:r>
        <w:rPr>
          <w:rStyle w:val="Bold"/>
          <w:rFonts w:ascii="Times New Roman" w:hAnsi="Times New Roman"/>
          <w:sz w:val="24"/>
        </w:rPr>
        <w:tab/>
      </w: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005.</w:t>
      </w:r>
      <w:r>
        <w:rPr>
          <w:rStyle w:val="Bold"/>
          <w:rFonts w:ascii="Times New Roman" w:hAnsi="Times New Roman"/>
          <w:caps w:val="0"/>
          <w:sz w:val="24"/>
        </w:rPr>
        <w:tab/>
      </w:r>
      <w:r>
        <w:rPr>
          <w:rStyle w:val="Bold"/>
          <w:rFonts w:ascii="Times New Roman" w:hAnsi="Times New Roman"/>
          <w:caps w:val="0"/>
          <w:sz w:val="24"/>
        </w:rPr>
        <w:fldChar w:fldCharType="begin"/>
      </w:r>
      <w:r>
        <w:rPr>
          <w:rStyle w:val="Bold"/>
          <w:rFonts w:ascii="Times New Roman" w:hAnsi="Times New Roman"/>
          <w:caps w:val="0"/>
          <w:sz w:val="24"/>
        </w:rPr>
        <w:instrText>XE "Requirements, Licensee"</w:instrText>
      </w:r>
      <w:r>
        <w:rPr>
          <w:rStyle w:val="Bold"/>
          <w:rFonts w:ascii="Times New Roman" w:hAnsi="Times New Roman"/>
          <w:caps w:val="0"/>
          <w:sz w:val="24"/>
        </w:rPr>
        <w:fldChar w:fldCharType="end"/>
      </w:r>
      <w:r>
        <w:rPr>
          <w:rStyle w:val="Bold"/>
          <w:rFonts w:ascii="Times New Roman" w:hAnsi="Times New Roman"/>
          <w:caps w:val="0"/>
          <w:sz w:val="24"/>
        </w:rPr>
        <w:t>Requirements.</w:t>
      </w:r>
    </w:p>
    <w:p w:rsidR="00B9512A" w:rsidRDefault="00232E12">
      <w:pPr>
        <w:pStyle w:val="Body"/>
        <w:rPr>
          <w:rStyle w:val="Bold"/>
          <w:rFonts w:ascii="Times New Roman" w:hAnsi="Times New Roman"/>
          <w:sz w:val="24"/>
        </w:rPr>
      </w:pPr>
      <w:r>
        <w:rPr>
          <w:rStyle w:val="Bold"/>
          <w:rFonts w:ascii="Times New Roman" w:hAnsi="Times New Roman"/>
          <w:sz w:val="24"/>
        </w:rPr>
        <w:t xml:space="preserve">Every applicant is required to meet the requirements of licensure as a professional engineer or surveyor in Idaho as provided in Idaho Code 54-1212 for initial licensure, Idaho Code 54-1219 for licensure by comity and as further clarified in IDAPA 10.01.01.017 and </w:t>
      </w:r>
      <w:r w:rsidR="00A65982">
        <w:rPr>
          <w:rStyle w:val="Bold"/>
          <w:rFonts w:ascii="Times New Roman" w:hAnsi="Times New Roman"/>
          <w:sz w:val="24"/>
        </w:rPr>
        <w:t>IDAPA 10.01.01</w:t>
      </w:r>
      <w:r>
        <w:rPr>
          <w:rStyle w:val="Bold"/>
          <w:rFonts w:ascii="Times New Roman" w:hAnsi="Times New Roman"/>
          <w:sz w:val="24"/>
        </w:rPr>
        <w:t xml:space="preserve">.019 (initial and comity licensure respectively). </w:t>
      </w:r>
      <w:r>
        <w:rPr>
          <w:rStyle w:val="Bold"/>
          <w:rFonts w:ascii="Times New Roman" w:hAnsi="Times New Roman"/>
          <w:sz w:val="24"/>
        </w:rPr>
        <w:tab/>
        <w:t xml:space="preserve"> (X-X-XX)</w:t>
      </w:r>
    </w:p>
    <w:p w:rsidR="00B9512A" w:rsidRDefault="00B9512A">
      <w:pPr>
        <w:pStyle w:val="Body"/>
        <w:rPr>
          <w:rStyle w:val="Bold"/>
          <w:rFonts w:ascii="Times New Roman" w:hAnsi="Times New Roman"/>
          <w:sz w:val="24"/>
        </w:rPr>
      </w:pPr>
    </w:p>
    <w:p w:rsidR="00B9512A" w:rsidRDefault="00232E12">
      <w:pPr>
        <w:pStyle w:val="Body"/>
        <w:rPr>
          <w:rStyle w:val="Bold"/>
          <w:rFonts w:ascii="Times New Roman" w:hAnsi="Times New Roman"/>
          <w:sz w:val="24"/>
        </w:rPr>
      </w:pPr>
      <w:r>
        <w:rPr>
          <w:rStyle w:val="Bold"/>
          <w:rFonts w:ascii="Times New Roman" w:hAnsi="Times New Roman"/>
          <w:sz w:val="24"/>
        </w:rPr>
        <w:t>006.     Process.</w:t>
      </w:r>
    </w:p>
    <w:p w:rsidR="00B9512A" w:rsidRDefault="00232E12">
      <w:pPr>
        <w:pStyle w:val="Body"/>
        <w:rPr>
          <w:rStyle w:val="Bold"/>
          <w:rFonts w:ascii="Times New Roman" w:hAnsi="Times New Roman"/>
          <w:sz w:val="24"/>
        </w:rPr>
      </w:pPr>
      <w:r>
        <w:rPr>
          <w:rStyle w:val="Bold"/>
          <w:rFonts w:ascii="Times New Roman" w:hAnsi="Times New Roman"/>
          <w:sz w:val="24"/>
        </w:rPr>
        <w:t xml:space="preserve">Every applicant (member, veteran or their spouse) for licensure shall submit a </w:t>
      </w:r>
      <w:r w:rsidR="00A65982">
        <w:rPr>
          <w:rStyle w:val="Bold"/>
          <w:rFonts w:ascii="Times New Roman" w:hAnsi="Times New Roman"/>
          <w:sz w:val="24"/>
        </w:rPr>
        <w:t>veteran’s</w:t>
      </w:r>
      <w:r>
        <w:rPr>
          <w:rStyle w:val="Bold"/>
          <w:rFonts w:ascii="Times New Roman" w:hAnsi="Times New Roman"/>
          <w:sz w:val="24"/>
        </w:rPr>
        <w:t xml:space="preserve"> application form (with or without NCEES record) with the appropriate application fee</w:t>
      </w:r>
      <w:r w:rsidR="00A65982">
        <w:rPr>
          <w:rStyle w:val="Bold"/>
          <w:rFonts w:ascii="Times New Roman" w:hAnsi="Times New Roman"/>
          <w:sz w:val="24"/>
        </w:rPr>
        <w:t xml:space="preserve"> or request for waiver of fee per Idaho Code 67-2602A (including spouses)</w:t>
      </w:r>
      <w:r>
        <w:rPr>
          <w:rStyle w:val="Bold"/>
          <w:rFonts w:ascii="Times New Roman" w:hAnsi="Times New Roman"/>
          <w:sz w:val="24"/>
        </w:rPr>
        <w:t xml:space="preserve">, proof of service eligibility, reference forms, education transcripts (military and civilian), verification of professional examinations and experience listing on the forms provided by the </w:t>
      </w:r>
      <w:r w:rsidR="00A65982">
        <w:rPr>
          <w:rStyle w:val="Bold"/>
          <w:rFonts w:ascii="Times New Roman" w:hAnsi="Times New Roman"/>
          <w:sz w:val="24"/>
        </w:rPr>
        <w:t>Board</w:t>
      </w:r>
      <w:r>
        <w:rPr>
          <w:rStyle w:val="Bold"/>
          <w:rFonts w:ascii="Times New Roman" w:hAnsi="Times New Roman"/>
          <w:sz w:val="24"/>
        </w:rPr>
        <w:t>.</w:t>
      </w:r>
      <w:r>
        <w:rPr>
          <w:rStyle w:val="Bold"/>
          <w:rFonts w:ascii="Times New Roman" w:hAnsi="Times New Roman"/>
          <w:sz w:val="24"/>
        </w:rPr>
        <w:tab/>
      </w:r>
      <w:r w:rsidR="00A65982">
        <w:rPr>
          <w:rStyle w:val="Bold"/>
          <w:rFonts w:ascii="Times New Roman" w:hAnsi="Times New Roman"/>
          <w:sz w:val="24"/>
        </w:rPr>
        <w:t xml:space="preserve">  </w:t>
      </w:r>
      <w:r>
        <w:rPr>
          <w:rStyle w:val="Bold"/>
          <w:rFonts w:ascii="Times New Roman" w:hAnsi="Times New Roman"/>
          <w:sz w:val="24"/>
        </w:rPr>
        <w:t>An NCEES record may contain the requisite verifications, transcripts and experience listing of the applicant.  When the complete application is received and reviewed by the Board and the license requirements of Idaho Code 54-1212 for initial licensure or Idaho Code 54-1219 for comity licensure</w:t>
      </w:r>
      <w:r w:rsidR="00A65982">
        <w:rPr>
          <w:rStyle w:val="Bold"/>
          <w:rFonts w:ascii="Times New Roman" w:hAnsi="Times New Roman"/>
          <w:sz w:val="24"/>
        </w:rPr>
        <w:t xml:space="preserve"> or license </w:t>
      </w:r>
      <w:r>
        <w:rPr>
          <w:rStyle w:val="Bold"/>
          <w:rFonts w:ascii="Times New Roman" w:hAnsi="Times New Roman"/>
          <w:sz w:val="24"/>
        </w:rPr>
        <w:t>endorsement are met, the Board shall issue a license to the applicant</w:t>
      </w:r>
      <w:r w:rsidR="00A65982">
        <w:rPr>
          <w:rStyle w:val="Bold"/>
          <w:rFonts w:ascii="Times New Roman" w:hAnsi="Times New Roman"/>
          <w:sz w:val="24"/>
        </w:rPr>
        <w:t>.</w:t>
      </w:r>
      <w:r w:rsidR="00454D7E">
        <w:rPr>
          <w:rStyle w:val="Bold"/>
          <w:rFonts w:ascii="Times New Roman" w:hAnsi="Times New Roman"/>
          <w:sz w:val="24"/>
        </w:rPr>
        <w:t xml:space="preserve">  Applications submitted under this Rule will be expedited per the statute by giving them priority over the other applications in the review and approval process.</w:t>
      </w:r>
      <w:r w:rsidR="00A65982">
        <w:rPr>
          <w:rStyle w:val="Bold"/>
          <w:rFonts w:ascii="Times New Roman" w:hAnsi="Times New Roman"/>
          <w:sz w:val="24"/>
        </w:rPr>
        <w:t xml:space="preserve">  If the license requirements are not met, the Board may deny or continue the application for additional information.</w:t>
      </w:r>
      <w:r w:rsidR="00A65982">
        <w:rPr>
          <w:rStyle w:val="Bold"/>
          <w:rFonts w:ascii="Times New Roman" w:hAnsi="Times New Roman"/>
          <w:sz w:val="24"/>
        </w:rPr>
        <w:tab/>
        <w:t xml:space="preserve"> (X-X-XX)</w:t>
      </w:r>
    </w:p>
    <w:p w:rsidR="00B9512A" w:rsidRDefault="00B9512A">
      <w:pPr>
        <w:pStyle w:val="Body"/>
        <w:rPr>
          <w:rStyle w:val="Bold"/>
          <w:rFonts w:ascii="Times New Roman" w:hAnsi="Times New Roman"/>
          <w:sz w:val="24"/>
        </w:rPr>
      </w:pP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t>00X.</w:t>
      </w:r>
      <w:r>
        <w:rPr>
          <w:rStyle w:val="Bold"/>
          <w:rFonts w:ascii="Times New Roman" w:hAnsi="Times New Roman"/>
          <w:caps w:val="0"/>
          <w:sz w:val="24"/>
        </w:rPr>
        <w:tab/>
      </w:r>
      <w:r>
        <w:rPr>
          <w:rStyle w:val="Bold"/>
          <w:rFonts w:ascii="Times New Roman" w:hAnsi="Times New Roman"/>
          <w:caps w:val="0"/>
          <w:sz w:val="24"/>
        </w:rPr>
        <w:fldChar w:fldCharType="begin"/>
      </w:r>
      <w:r>
        <w:rPr>
          <w:rStyle w:val="Bold"/>
          <w:rFonts w:ascii="Times New Roman" w:hAnsi="Times New Roman"/>
          <w:caps w:val="0"/>
          <w:sz w:val="24"/>
        </w:rPr>
        <w:instrText>XE "Exemptions"</w:instrText>
      </w:r>
      <w:r>
        <w:rPr>
          <w:rStyle w:val="Bold"/>
          <w:rFonts w:ascii="Times New Roman" w:hAnsi="Times New Roman"/>
          <w:caps w:val="0"/>
          <w:sz w:val="24"/>
        </w:rPr>
        <w:fldChar w:fldCharType="end"/>
      </w:r>
      <w:r>
        <w:rPr>
          <w:rStyle w:val="Bold"/>
          <w:rFonts w:ascii="Times New Roman" w:hAnsi="Times New Roman"/>
          <w:caps w:val="0"/>
          <w:sz w:val="24"/>
        </w:rPr>
        <w:t>Exemptions.</w:t>
      </w:r>
    </w:p>
    <w:p w:rsidR="00B9512A" w:rsidRDefault="00B9512A">
      <w:pPr>
        <w:pStyle w:val="Body"/>
        <w:rPr>
          <w:rStyle w:val="Bold"/>
          <w:rFonts w:ascii="Times New Roman" w:hAnsi="Times New Roman"/>
          <w:sz w:val="24"/>
        </w:rPr>
      </w:pPr>
    </w:p>
    <w:p w:rsidR="00B9512A" w:rsidRDefault="00232E12">
      <w:pPr>
        <w:pStyle w:val="SectionNameTOC2"/>
        <w:rPr>
          <w:rStyle w:val="Bold"/>
          <w:bCs w:val="0"/>
          <w:caps w:val="0"/>
          <w:w w:val="100"/>
          <w:sz w:val="24"/>
        </w:rPr>
      </w:pPr>
      <w:r>
        <w:rPr>
          <w:rStyle w:val="Bold"/>
          <w:bCs w:val="0"/>
          <w:caps w:val="0"/>
          <w:w w:val="100"/>
          <w:sz w:val="24"/>
        </w:rPr>
        <w:t xml:space="preserve">0XX. </w:t>
      </w:r>
      <w:r>
        <w:rPr>
          <w:rStyle w:val="Bold"/>
          <w:bCs w:val="0"/>
          <w:caps w:val="0"/>
          <w:w w:val="100"/>
          <w:sz w:val="24"/>
        </w:rPr>
        <w:noBreakHyphen/>
      </w:r>
      <w:r>
        <w:rPr>
          <w:rStyle w:val="Bold"/>
          <w:bCs w:val="0"/>
          <w:caps w:val="0"/>
          <w:w w:val="100"/>
          <w:sz w:val="24"/>
        </w:rPr>
        <w:noBreakHyphen/>
        <w:t xml:space="preserve"> 998.</w:t>
      </w:r>
      <w:r>
        <w:rPr>
          <w:rStyle w:val="Bold"/>
          <w:bCs w:val="0"/>
          <w:caps w:val="0"/>
          <w:w w:val="100"/>
          <w:sz w:val="24"/>
        </w:rPr>
        <w:tab/>
        <w:t>(Reserved).</w:t>
      </w:r>
    </w:p>
    <w:p w:rsidR="00B9512A" w:rsidRDefault="00B9512A">
      <w:pPr>
        <w:pStyle w:val="Body"/>
        <w:rPr>
          <w:rStyle w:val="Bold"/>
          <w:rFonts w:ascii="Times New Roman" w:hAnsi="Times New Roman"/>
          <w:sz w:val="24"/>
        </w:rPr>
      </w:pPr>
    </w:p>
    <w:p w:rsidR="00B9512A" w:rsidRDefault="00232E12">
      <w:pPr>
        <w:pStyle w:val="SectionNameTOC"/>
        <w:rPr>
          <w:rStyle w:val="Bold"/>
          <w:rFonts w:ascii="Times New Roman" w:hAnsi="Times New Roman"/>
          <w:caps w:val="0"/>
          <w:sz w:val="24"/>
        </w:rPr>
      </w:pPr>
      <w:r>
        <w:rPr>
          <w:rStyle w:val="Bold"/>
          <w:rFonts w:ascii="Times New Roman" w:hAnsi="Times New Roman"/>
          <w:caps w:val="0"/>
          <w:sz w:val="24"/>
        </w:rPr>
        <w:lastRenderedPageBreak/>
        <w:t>999.</w:t>
      </w:r>
      <w:r>
        <w:rPr>
          <w:rStyle w:val="Bold"/>
          <w:rFonts w:ascii="Times New Roman" w:hAnsi="Times New Roman"/>
          <w:caps w:val="0"/>
          <w:sz w:val="24"/>
        </w:rPr>
        <w:tab/>
        <w:t>Severability.</w:t>
      </w:r>
    </w:p>
    <w:p w:rsidR="00B9512A" w:rsidRDefault="00232E12">
      <w:pPr>
        <w:pStyle w:val="Body"/>
        <w:rPr>
          <w:rStyle w:val="Bold"/>
          <w:rFonts w:ascii="Times New Roman" w:hAnsi="Times New Roman"/>
          <w:sz w:val="24"/>
        </w:rPr>
      </w:pPr>
      <w:r>
        <w:rPr>
          <w:rStyle w:val="Bold"/>
          <w:rFonts w:ascii="Times New Roman" w:hAnsi="Times New Roman"/>
          <w:sz w:val="24"/>
        </w:rPr>
        <w:t>The rules governing this chapter are severable. If any rule, or part thereof, or the application of such rule to any person or circumstance is declared invalid, that invalidity does not affect the validity of any remaining portion of this chapter.</w:t>
      </w:r>
      <w:r>
        <w:rPr>
          <w:rStyle w:val="Bold"/>
          <w:rFonts w:ascii="Times New Roman" w:hAnsi="Times New Roman"/>
          <w:sz w:val="24"/>
        </w:rPr>
        <w:tab/>
        <w:t>(X-X-XX)</w:t>
      </w:r>
    </w:p>
    <w:p w:rsidR="00B9512A" w:rsidRDefault="00B9512A"/>
    <w:sectPr w:rsidR="00B9512A">
      <w:headerReference w:type="default"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B6" w:rsidRDefault="00232E12">
      <w:r>
        <w:separator/>
      </w:r>
    </w:p>
  </w:endnote>
  <w:endnote w:type="continuationSeparator" w:id="0">
    <w:p w:rsidR="007B3BB6" w:rsidRDefault="0023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2A" w:rsidRDefault="00232E12">
    <w:pPr>
      <w:pStyle w:val="Footer"/>
    </w:pPr>
    <w:r>
      <w:fldChar w:fldCharType="begin"/>
    </w:r>
    <w:r>
      <w:instrText xml:space="preserve"> PAGE </w:instrText>
    </w:r>
    <w:r>
      <w:fldChar w:fldCharType="separate"/>
    </w:r>
    <w:r>
      <w:t>1</w:t>
    </w:r>
    <w:r>
      <w:fldChar w:fldCharType="end"/>
    </w:r>
  </w:p>
  <w:p w:rsidR="00B9512A" w:rsidRDefault="00B9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B6" w:rsidRDefault="00232E12">
      <w:r>
        <w:separator/>
      </w:r>
    </w:p>
  </w:footnote>
  <w:footnote w:type="continuationSeparator" w:id="0">
    <w:p w:rsidR="007B3BB6" w:rsidRDefault="0023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2A" w:rsidRDefault="004F0E3F">
    <w:pPr>
      <w:pStyle w:val="Header"/>
    </w:pPr>
    <w:r>
      <w:rPr>
        <w:noProof/>
      </w:rPr>
      <w:pict>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f" fitpath="t"/>
          <v:handles>
            <v:h position="#0,bottomRight" xrange="6629,14971"/>
          </v:handles>
          <o:lock v:ext="edit" text="t" shapetype="t"/>
        </v:shapetype>
      </w:pict>
    </w:r>
    <w:r>
      <w:rPr>
        <w:noProof/>
      </w:rPr>
      <w:pict>
        <v:shape id="TextArtObject1" o:spid="_x0000_s2049" type="#_x0000_m2050" style="position:absolute;left:0;text-align:left;margin-left:0;margin-top:0;width:412.4pt;height:247.45pt;rotation:315;z-index:251658240;mso-wrap-style:square;mso-wrap-distance-left:9pt;mso-wrap-distance-top:0;mso-wrap-distance-right:9pt;mso-wrap-distance-bottom:0;mso-position-horizontal:center;mso-position-horizontal-relative:margin;mso-position-vertical:center;mso-position-vertical-relative:margin" adj="10800" fillcolor="silver" stroked="f">
          <v:fill opacity=".5" color2="black" angle="180" type="solid"/>
          <v:textpath on="t" style="font-family:&quot;Calibri&quot;;font-size:1pt" fitshape="t" trim="t" fitpath="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49EB"/>
    <w:multiLevelType w:val="hybridMultilevel"/>
    <w:tmpl w:val="EC5624E4"/>
    <w:lvl w:ilvl="0" w:tplc="92CAC73C">
      <w:numFmt w:val="none"/>
      <w:lvlText w:val=""/>
      <w:lvlJc w:val="left"/>
      <w:pPr>
        <w:tabs>
          <w:tab w:val="num" w:pos="360"/>
        </w:tabs>
        <w:ind w:left="360" w:hanging="360"/>
      </w:pPr>
    </w:lvl>
    <w:lvl w:ilvl="1" w:tplc="C260725A">
      <w:numFmt w:val="none"/>
      <w:lvlText w:val=""/>
      <w:lvlJc w:val="left"/>
      <w:pPr>
        <w:tabs>
          <w:tab w:val="num" w:pos="360"/>
        </w:tabs>
        <w:ind w:left="360" w:hanging="360"/>
      </w:pPr>
    </w:lvl>
    <w:lvl w:ilvl="2" w:tplc="80329810">
      <w:numFmt w:val="none"/>
      <w:lvlText w:val=""/>
      <w:lvlJc w:val="left"/>
      <w:pPr>
        <w:tabs>
          <w:tab w:val="num" w:pos="360"/>
        </w:tabs>
        <w:ind w:left="360" w:hanging="360"/>
      </w:pPr>
    </w:lvl>
    <w:lvl w:ilvl="3" w:tplc="493E3DF4">
      <w:numFmt w:val="none"/>
      <w:lvlText w:val=""/>
      <w:lvlJc w:val="left"/>
      <w:pPr>
        <w:tabs>
          <w:tab w:val="num" w:pos="360"/>
        </w:tabs>
        <w:ind w:left="360" w:hanging="360"/>
      </w:pPr>
    </w:lvl>
    <w:lvl w:ilvl="4" w:tplc="43FA3712">
      <w:numFmt w:val="none"/>
      <w:lvlText w:val=""/>
      <w:lvlJc w:val="left"/>
      <w:pPr>
        <w:tabs>
          <w:tab w:val="num" w:pos="360"/>
        </w:tabs>
        <w:ind w:left="360" w:hanging="360"/>
      </w:pPr>
    </w:lvl>
    <w:lvl w:ilvl="5" w:tplc="F92C9C3C">
      <w:numFmt w:val="none"/>
      <w:lvlText w:val=""/>
      <w:lvlJc w:val="left"/>
      <w:pPr>
        <w:tabs>
          <w:tab w:val="num" w:pos="360"/>
        </w:tabs>
        <w:ind w:left="360" w:hanging="360"/>
      </w:pPr>
    </w:lvl>
    <w:lvl w:ilvl="6" w:tplc="2DB6F446">
      <w:numFmt w:val="none"/>
      <w:lvlText w:val=""/>
      <w:lvlJc w:val="left"/>
      <w:pPr>
        <w:tabs>
          <w:tab w:val="num" w:pos="360"/>
        </w:tabs>
        <w:ind w:left="360" w:hanging="360"/>
      </w:pPr>
    </w:lvl>
    <w:lvl w:ilvl="7" w:tplc="A450FB44">
      <w:numFmt w:val="none"/>
      <w:lvlText w:val=""/>
      <w:lvlJc w:val="left"/>
      <w:pPr>
        <w:tabs>
          <w:tab w:val="num" w:pos="360"/>
        </w:tabs>
        <w:ind w:left="360" w:hanging="360"/>
      </w:pPr>
    </w:lvl>
    <w:lvl w:ilvl="8" w:tplc="EAE278DE">
      <w:numFmt w:val="none"/>
      <w:lvlText w:val=""/>
      <w:lvlJc w:val="left"/>
      <w:pPr>
        <w:tabs>
          <w:tab w:val="num" w:pos="360"/>
        </w:tabs>
        <w:ind w:left="360" w:hanging="360"/>
      </w:pPr>
    </w:lvl>
  </w:abstractNum>
  <w:abstractNum w:abstractNumId="1" w15:restartNumberingAfterBreak="0">
    <w:nsid w:val="369C3F6E"/>
    <w:multiLevelType w:val="hybridMultilevel"/>
    <w:tmpl w:val="5EB26CE8"/>
    <w:name w:val="Numbered list 1"/>
    <w:lvl w:ilvl="0" w:tplc="79205122">
      <w:start w:val="1"/>
      <w:numFmt w:val="decimal"/>
      <w:lvlText w:val="%1."/>
      <w:lvlJc w:val="left"/>
      <w:pPr>
        <w:ind w:left="360" w:firstLine="0"/>
      </w:pPr>
    </w:lvl>
    <w:lvl w:ilvl="1" w:tplc="DA383250">
      <w:start w:val="1"/>
      <w:numFmt w:val="lowerLetter"/>
      <w:lvlText w:val="%2."/>
      <w:lvlJc w:val="left"/>
      <w:pPr>
        <w:ind w:left="1080" w:firstLine="0"/>
      </w:pPr>
    </w:lvl>
    <w:lvl w:ilvl="2" w:tplc="B1AED644">
      <w:start w:val="1"/>
      <w:numFmt w:val="lowerRoman"/>
      <w:lvlText w:val="%3."/>
      <w:lvlJc w:val="left"/>
      <w:pPr>
        <w:ind w:left="1980" w:firstLine="0"/>
      </w:pPr>
    </w:lvl>
    <w:lvl w:ilvl="3" w:tplc="6688064A">
      <w:start w:val="1"/>
      <w:numFmt w:val="decimal"/>
      <w:lvlText w:val="%4."/>
      <w:lvlJc w:val="left"/>
      <w:pPr>
        <w:ind w:left="2520" w:firstLine="0"/>
      </w:pPr>
    </w:lvl>
    <w:lvl w:ilvl="4" w:tplc="BF0E0E5E">
      <w:start w:val="1"/>
      <w:numFmt w:val="lowerLetter"/>
      <w:lvlText w:val="%5."/>
      <w:lvlJc w:val="left"/>
      <w:pPr>
        <w:ind w:left="3240" w:firstLine="0"/>
      </w:pPr>
    </w:lvl>
    <w:lvl w:ilvl="5" w:tplc="7A9299FE">
      <w:start w:val="1"/>
      <w:numFmt w:val="lowerRoman"/>
      <w:lvlText w:val="%6."/>
      <w:lvlJc w:val="left"/>
      <w:pPr>
        <w:ind w:left="4140" w:firstLine="0"/>
      </w:pPr>
    </w:lvl>
    <w:lvl w:ilvl="6" w:tplc="3A880574">
      <w:start w:val="1"/>
      <w:numFmt w:val="decimal"/>
      <w:lvlText w:val="%7."/>
      <w:lvlJc w:val="left"/>
      <w:pPr>
        <w:ind w:left="4680" w:firstLine="0"/>
      </w:pPr>
    </w:lvl>
    <w:lvl w:ilvl="7" w:tplc="8994640E">
      <w:start w:val="1"/>
      <w:numFmt w:val="lowerLetter"/>
      <w:lvlText w:val="%8."/>
      <w:lvlJc w:val="left"/>
      <w:pPr>
        <w:ind w:left="5400" w:firstLine="0"/>
      </w:pPr>
    </w:lvl>
    <w:lvl w:ilvl="8" w:tplc="D408D3AE">
      <w:start w:val="1"/>
      <w:numFmt w:val="lowerRoman"/>
      <w:lvlText w:val="%9."/>
      <w:lvlJc w:val="left"/>
      <w:pPr>
        <w:ind w:left="630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83"/>
  <w:drawingGridVerticalSpacing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2A"/>
    <w:rsid w:val="00232E12"/>
    <w:rsid w:val="00454D7E"/>
    <w:rsid w:val="004F0E3F"/>
    <w:rsid w:val="007B3BB6"/>
    <w:rsid w:val="00A65982"/>
    <w:rsid w:val="00B9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BB1401-A840-440B-95F4-A06A6D23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720"/>
        <w:tab w:val="left" w:pos="1443"/>
        <w:tab w:val="right" w:pos="9360"/>
      </w:tabs>
      <w:jc w:val="center"/>
    </w:pPr>
    <w:rPr>
      <w:rFonts w:ascii="Times" w:eastAsia="Times New Roman" w:hAnsi="Time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pPr>
      <w:jc w:val="both"/>
    </w:pPr>
  </w:style>
  <w:style w:type="paragraph" w:customStyle="1" w:styleId="CellBody-9pt">
    <w:name w:val="CellBody-9pt"/>
    <w:basedOn w:val="Normal"/>
    <w:qFormat/>
    <w:pPr>
      <w:tabs>
        <w:tab w:val="left" w:pos="475"/>
      </w:tabs>
      <w:jc w:val="left"/>
    </w:pPr>
    <w:rPr>
      <w:rFonts w:ascii="Arial" w:hAnsi="Arial"/>
      <w:sz w:val="18"/>
    </w:rPr>
  </w:style>
  <w:style w:type="paragraph" w:customStyle="1" w:styleId="Center">
    <w:name w:val="Center"/>
    <w:basedOn w:val="Normal"/>
    <w:qFormat/>
    <w:pPr>
      <w:keepNext/>
      <w:spacing w:before="140" w:after="140"/>
    </w:pPr>
    <w:rPr>
      <w:rFonts w:ascii="Arial" w:hAnsi="Arial"/>
    </w:rPr>
  </w:style>
  <w:style w:type="paragraph" w:customStyle="1" w:styleId="SectionNameTOC">
    <w:name w:val="Section Name TOC"/>
    <w:basedOn w:val="Normal"/>
    <w:qFormat/>
    <w:pPr>
      <w:tabs>
        <w:tab w:val="right" w:pos="7200"/>
        <w:tab w:val="left" w:pos="8452"/>
      </w:tabs>
      <w:jc w:val="both"/>
    </w:pPr>
    <w:rPr>
      <w:caps/>
    </w:rPr>
  </w:style>
  <w:style w:type="paragraph" w:customStyle="1" w:styleId="TitleTOC">
    <w:name w:val="Title TOC"/>
    <w:basedOn w:val="Normal"/>
    <w:qFormat/>
    <w:pPr>
      <w:keepNext/>
      <w:spacing w:before="160" w:after="160"/>
    </w:pPr>
    <w:rPr>
      <w:rFonts w:ascii="Arial" w:hAnsi="Arial"/>
      <w:caps/>
    </w:rPr>
  </w:style>
  <w:style w:type="paragraph" w:customStyle="1" w:styleId="SectionNameTOC2">
    <w:name w:val="Section Name TOC2"/>
    <w:qFormat/>
    <w:pPr>
      <w:tabs>
        <w:tab w:val="left" w:pos="720"/>
        <w:tab w:val="left" w:pos="1440"/>
        <w:tab w:val="right" w:pos="7200"/>
        <w:tab w:val="left" w:pos="8460"/>
      </w:tabs>
      <w:suppressAutoHyphens/>
      <w:spacing w:line="200" w:lineRule="atLeast"/>
      <w:jc w:val="both"/>
    </w:pPr>
    <w:rPr>
      <w:rFonts w:eastAsia="Times New Roman"/>
      <w:b/>
      <w:bCs/>
      <w:caps/>
      <w:color w:val="000000"/>
      <w:w w:val="50"/>
      <w:sz w:val="20"/>
      <w:szCs w:val="20"/>
    </w:rPr>
  </w:style>
  <w:style w:type="paragraph" w:styleId="Footer">
    <w:name w:val="footer"/>
    <w:basedOn w:val="Normal"/>
    <w:qFormat/>
    <w:pPr>
      <w:tabs>
        <w:tab w:val="clear" w:pos="720"/>
        <w:tab w:val="clear" w:pos="1443"/>
        <w:tab w:val="center" w:pos="4680"/>
      </w:tabs>
    </w:pPr>
  </w:style>
  <w:style w:type="paragraph" w:styleId="Header">
    <w:name w:val="header"/>
    <w:basedOn w:val="Normal"/>
    <w:qFormat/>
    <w:pPr>
      <w:tabs>
        <w:tab w:val="clear" w:pos="720"/>
        <w:tab w:val="clear" w:pos="1443"/>
        <w:tab w:val="center" w:pos="4680"/>
      </w:tabs>
    </w:pPr>
  </w:style>
  <w:style w:type="character" w:customStyle="1" w:styleId="Bold">
    <w:name w:val="Bold"/>
    <w:rPr>
      <w:rFonts w:ascii="Times" w:hAnsi="Times"/>
      <w:b/>
      <w:color w:val="000000"/>
      <w:sz w:val="20"/>
    </w:rPr>
  </w:style>
  <w:style w:type="character" w:styleId="Hyperlink">
    <w:name w:val="Hyperlink"/>
    <w:rPr>
      <w:color w:val="0000FF"/>
      <w:u w:val="single"/>
    </w:rPr>
  </w:style>
  <w:style w:type="character" w:customStyle="1" w:styleId="FooterChar">
    <w:name w:val="Footer Char"/>
    <w:basedOn w:val="DefaultParagraphFont"/>
    <w:rPr>
      <w:rFonts w:ascii="Times" w:eastAsia="Times New Roman" w:hAnsi="Times"/>
      <w:b/>
      <w:noProof/>
      <w:color w:val="000000"/>
      <w:sz w:val="20"/>
      <w:szCs w:val="20"/>
    </w:rPr>
  </w:style>
  <w:style w:type="character" w:customStyle="1" w:styleId="HeaderChar">
    <w:name w:val="Header Char"/>
    <w:basedOn w:val="DefaultParagraphFont"/>
    <w:rPr>
      <w:rFonts w:ascii="Times" w:eastAsia="Times New Roman" w:hAnsi="Times"/>
      <w:b/>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Szatkowski</dc:creator>
  <cp:keywords/>
  <dc:description/>
  <cp:lastModifiedBy>Jim Szatkowski</cp:lastModifiedBy>
  <cp:revision>2</cp:revision>
  <cp:lastPrinted>2019-03-12T14:26:00Z</cp:lastPrinted>
  <dcterms:created xsi:type="dcterms:W3CDTF">2019-06-07T20:29:00Z</dcterms:created>
  <dcterms:modified xsi:type="dcterms:W3CDTF">2019-06-07T20:29:00Z</dcterms:modified>
</cp:coreProperties>
</file>