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57" w:rsidRDefault="00477F57">
      <w:pPr>
        <w:pStyle w:val="Center"/>
        <w:rPr>
          <w:w w:val="100"/>
        </w:rPr>
      </w:pPr>
      <w:r>
        <w:rPr>
          <w:w w:val="100"/>
        </w:rPr>
        <w:t>IDAPA 10</w:t>
      </w:r>
      <w:r>
        <w:rPr>
          <w:w w:val="100"/>
        </w:rPr>
        <w:br/>
        <w:t>TITLE 01</w:t>
      </w:r>
      <w:r>
        <w:rPr>
          <w:w w:val="100"/>
        </w:rPr>
        <w:br/>
        <w:t>CHAPTER 02</w:t>
      </w:r>
    </w:p>
    <w:p w:rsidR="00477F57" w:rsidRDefault="00477F57">
      <w:pPr>
        <w:pStyle w:val="Center"/>
        <w:rPr>
          <w:w w:val="100"/>
        </w:rPr>
      </w:pPr>
    </w:p>
    <w:p w:rsidR="00477F57" w:rsidRDefault="00477F57">
      <w:pPr>
        <w:pStyle w:val="TitleTOC"/>
        <w:rPr>
          <w:w w:val="100"/>
        </w:rPr>
      </w:pPr>
      <w:r>
        <w:rPr>
          <w:w w:val="100"/>
        </w:rPr>
        <w:t>10.01.02 - Rules of Professional Responsibility</w:t>
      </w:r>
    </w:p>
    <w:p w:rsidR="00477F57" w:rsidRDefault="00477F57">
      <w:pPr>
        <w:pStyle w:val="Body"/>
        <w:rPr>
          <w:w w:val="100"/>
        </w:rPr>
      </w:pPr>
    </w:p>
    <w:p w:rsidR="00477F57" w:rsidRDefault="00477F57">
      <w:pPr>
        <w:pStyle w:val="SectionNameTOC"/>
        <w:rPr>
          <w:w w:val="100"/>
        </w:rPr>
      </w:pPr>
      <w:r>
        <w:rPr>
          <w:w w:val="100"/>
        </w:rPr>
        <w:t>000.</w:t>
      </w:r>
      <w:r>
        <w:rPr>
          <w:w w:val="100"/>
        </w:rPr>
        <w:tab/>
        <w:t>Legal Authority.</w:t>
      </w:r>
    </w:p>
    <w:p w:rsidR="00477F57" w:rsidRDefault="00477F57">
      <w:pPr>
        <w:pStyle w:val="Body"/>
        <w:rPr>
          <w:w w:val="100"/>
        </w:rPr>
      </w:pPr>
      <w:r>
        <w:rPr>
          <w:w w:val="100"/>
        </w:rPr>
        <w:t>These rules are promulgated as authorized by Section 54-1208(1), Idaho Code.</w:t>
      </w:r>
      <w:r>
        <w:rPr>
          <w:w w:val="100"/>
        </w:rPr>
        <w:tab/>
        <w:t>(7-1-93)</w:t>
      </w:r>
    </w:p>
    <w:p w:rsidR="00477F57" w:rsidRDefault="00477F57">
      <w:pPr>
        <w:pStyle w:val="Body"/>
        <w:rPr>
          <w:w w:val="100"/>
        </w:rPr>
      </w:pPr>
    </w:p>
    <w:p w:rsidR="00477F57" w:rsidRDefault="00477F57">
      <w:pPr>
        <w:pStyle w:val="SectionNameTOC"/>
        <w:rPr>
          <w:w w:val="100"/>
        </w:rPr>
      </w:pPr>
      <w:r>
        <w:rPr>
          <w:w w:val="100"/>
        </w:rPr>
        <w:t>001.</w:t>
      </w:r>
      <w:r>
        <w:rPr>
          <w:w w:val="100"/>
        </w:rPr>
        <w:tab/>
        <w:t>Title And Scope.</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t>Title</w:t>
      </w:r>
      <w:r>
        <w:rPr>
          <w:w w:val="100"/>
        </w:rPr>
        <w:t>. These rules shall be cited in full as Idaho Board of Licensure of Professional Engineers and Professional Land Surveyors, IDAPA 10.01.02, “Rules of Professional Responsibility.”</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t>Scope</w:t>
      </w:r>
      <w:r>
        <w:rPr>
          <w:w w:val="100"/>
        </w:rPr>
        <w:t xml:space="preserve">. In order to establish and maintain a high standard of integrity, skills and practice in the professions of engineering and land surveying, and to safeguard the life, health, property and welfare of the public, the following Rules of Professional Responsibility, hereinafter referred to as Rules, have been promulgated in accordance with Section 54-1208, Idaho Code, and shall be binding in the state of Idaho upon every person holding a license as a Professional Engineer or Professional Land Surveyor, on all entities authorized to offer or perform engineering or land surveying services through a business entity or other legal entity and on every person holding a certificate as an engineer intern or a certificate as a land surveyor intern. Each Licensee and Certificate Holder under the laws of the state of </w:t>
      </w:r>
      <w:smartTag w:uri="urn:schemas-microsoft-com:office:smarttags" w:element="State">
        <w:smartTag w:uri="urn:schemas-microsoft-com:office:smarttags" w:element="place">
          <w:r>
            <w:rPr>
              <w:w w:val="100"/>
            </w:rPr>
            <w:t>Idaho</w:t>
          </w:r>
        </w:smartTag>
      </w:smartTag>
      <w:r>
        <w:rPr>
          <w:w w:val="100"/>
        </w:rPr>
        <w:t xml:space="preserve"> is charged with being familiar with these Rules and knowledgeable in their application to the practice of engineering and land surveying. Such application shall include the recognition that the practice of engineering or the practice of land surveying is a privilege and the Licensee or Certificate Holder shall be forthright and candid in statements or written responses to the Board, or its representatives, on matters pertaining to these Rules. All Licensees or Certificate Holders in their original application, and for renewals thereof, shall certify that they have read and agree to abide by the Rules which are in force at the time of application or renewal. These Rules shall not be a basis for action involving civil liability, however, failure to obey these Rules may subject a Licensee or Certificate Holder to Board action pursuant to Chapter 12, Title 54, Idaho Code.</w:t>
      </w:r>
      <w:r>
        <w:rPr>
          <w:w w:val="100"/>
        </w:rPr>
        <w:tab/>
        <w:t>(5-8-09)</w:t>
      </w:r>
    </w:p>
    <w:p w:rsidR="00477F57" w:rsidRDefault="00477F57">
      <w:pPr>
        <w:pStyle w:val="Body"/>
        <w:rPr>
          <w:w w:val="100"/>
        </w:rPr>
      </w:pPr>
    </w:p>
    <w:p w:rsidR="00477F57" w:rsidRDefault="00477F57">
      <w:pPr>
        <w:pStyle w:val="SectionNameTOC"/>
        <w:rPr>
          <w:w w:val="100"/>
        </w:rPr>
      </w:pPr>
      <w:r>
        <w:rPr>
          <w:w w:val="100"/>
        </w:rPr>
        <w:t>002.</w:t>
      </w:r>
      <w:r>
        <w:rPr>
          <w:w w:val="100"/>
        </w:rPr>
        <w:tab/>
        <w:t>Administrative Appeals.</w:t>
      </w:r>
    </w:p>
    <w:p w:rsidR="00477F57" w:rsidRDefault="00477F57">
      <w:pPr>
        <w:pStyle w:val="Body"/>
        <w:rPr>
          <w:w w:val="100"/>
        </w:rPr>
      </w:pPr>
      <w:r>
        <w:rPr>
          <w:w w:val="100"/>
        </w:rPr>
        <w:t>Persons desiring to contest the actions taken in accordance with these rules shall seek administrative relief under the Attorney General’s Rules, IDAPA 04, Title 11, Chapter 01, “Idaho Rules of Administrative Procedure of the Attorney General.”</w:t>
      </w:r>
      <w:r>
        <w:rPr>
          <w:w w:val="100"/>
        </w:rPr>
        <w:tab/>
        <w:t>(7-1-98)</w:t>
      </w:r>
    </w:p>
    <w:p w:rsidR="00477F57" w:rsidRDefault="00477F57">
      <w:pPr>
        <w:pStyle w:val="Body"/>
        <w:rPr>
          <w:w w:val="100"/>
        </w:rPr>
      </w:pPr>
    </w:p>
    <w:p w:rsidR="00477F57" w:rsidRDefault="00477F57">
      <w:pPr>
        <w:pStyle w:val="SectionNameTOC"/>
        <w:rPr>
          <w:w w:val="100"/>
        </w:rPr>
      </w:pPr>
      <w:r>
        <w:rPr>
          <w:w w:val="100"/>
        </w:rPr>
        <w:t>003.</w:t>
      </w:r>
      <w:r>
        <w:rPr>
          <w:w w:val="100"/>
        </w:rPr>
        <w:tab/>
        <w:t>Written Interpretations.</w:t>
      </w:r>
    </w:p>
    <w:p w:rsidR="00477F57" w:rsidRDefault="00477F57">
      <w:pPr>
        <w:pStyle w:val="Body"/>
        <w:rPr>
          <w:w w:val="100"/>
        </w:rPr>
      </w:pPr>
      <w:r>
        <w:rPr>
          <w:w w:val="100"/>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w:t>
      </w:r>
      <w:r>
        <w:rPr>
          <w:w w:val="100"/>
        </w:rPr>
        <w:tab/>
        <w:t>(7-1-93)</w:t>
      </w:r>
    </w:p>
    <w:p w:rsidR="00477F57" w:rsidRDefault="00477F57">
      <w:pPr>
        <w:pStyle w:val="Body"/>
        <w:rPr>
          <w:w w:val="100"/>
        </w:rPr>
      </w:pPr>
    </w:p>
    <w:p w:rsidR="00477F57" w:rsidRDefault="00477F57">
      <w:pPr>
        <w:pStyle w:val="SectionNameTOC"/>
        <w:rPr>
          <w:w w:val="100"/>
        </w:rPr>
      </w:pPr>
      <w:r>
        <w:rPr>
          <w:w w:val="100"/>
        </w:rPr>
        <w:t>004.</w:t>
      </w:r>
      <w:r>
        <w:rPr>
          <w:w w:val="100"/>
        </w:rPr>
        <w:tab/>
      </w:r>
      <w:r>
        <w:rPr>
          <w:w w:val="100"/>
        </w:rPr>
        <w:fldChar w:fldCharType="begin"/>
      </w:r>
      <w:r>
        <w:rPr>
          <w:w w:val="100"/>
        </w:rPr>
        <w:instrText>xe "Definitions, IDAPA 10.01.02, Rules Of Professional Responsibility"</w:instrText>
      </w:r>
      <w:r>
        <w:rPr>
          <w:w w:val="100"/>
        </w:rPr>
        <w:fldChar w:fldCharType="end"/>
      </w:r>
      <w:r>
        <w:rPr>
          <w:w w:val="100"/>
        </w:rPr>
        <w:t>Definitions.</w:t>
      </w:r>
    </w:p>
    <w:p w:rsidR="00477F57" w:rsidRDefault="00477F57">
      <w:pPr>
        <w:pStyle w:val="Body"/>
        <w:rPr>
          <w:w w:val="100"/>
        </w:rPr>
      </w:pPr>
      <w:r>
        <w:rPr>
          <w:w w:val="100"/>
        </w:rPr>
        <w:t>For the purposes of these rules, the following terms are used as defined below:</w:t>
      </w:r>
      <w:r>
        <w:rPr>
          <w:w w:val="100"/>
        </w:rPr>
        <w:tab/>
        <w:t>(7-1-93)</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t>Board</w:t>
      </w:r>
      <w:r>
        <w:rPr>
          <w:w w:val="100"/>
        </w:rPr>
        <w:t xml:space="preserve">. The Board of Licensure of Professional Engineers and </w:t>
      </w:r>
      <w:smartTag w:uri="urn:schemas-microsoft-com:office:smarttags" w:element="place">
        <w:smartTag w:uri="urn:schemas-microsoft-com:office:smarttags" w:element="PlaceName">
          <w:r>
            <w:rPr>
              <w:w w:val="100"/>
            </w:rPr>
            <w:t>Professional</w:t>
          </w:r>
        </w:smartTag>
        <w:r>
          <w:rPr>
            <w:w w:val="100"/>
          </w:rPr>
          <w:t xml:space="preserve"> </w:t>
        </w:r>
        <w:smartTag w:uri="urn:schemas-microsoft-com:office:smarttags" w:element="place">
          <w:r>
            <w:rPr>
              <w:w w:val="100"/>
            </w:rPr>
            <w:t>Land</w:t>
          </w:r>
        </w:smartTag>
      </w:smartTag>
      <w:r>
        <w:rPr>
          <w:w w:val="100"/>
        </w:rPr>
        <w:t xml:space="preserve"> Surveyors.</w:t>
      </w:r>
    </w:p>
    <w:p w:rsidR="00477F57" w:rsidRDefault="00477F57">
      <w:pPr>
        <w:pStyle w:val="Body"/>
        <w:rPr>
          <w:w w:val="100"/>
        </w:rPr>
      </w:pPr>
      <w:r>
        <w:rPr>
          <w:w w:val="100"/>
        </w:rPr>
        <w:tab/>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"Certificate Holder"</w:instrText>
      </w:r>
      <w:r>
        <w:rPr>
          <w:rStyle w:val="Bold"/>
          <w:bCs/>
          <w:lang w:eastAsia="en-US"/>
        </w:rPr>
        <w:fldChar w:fldCharType="end"/>
      </w:r>
      <w:r>
        <w:rPr>
          <w:rStyle w:val="Bold"/>
          <w:bCs/>
          <w:lang w:eastAsia="en-US"/>
        </w:rPr>
        <w:t>Certificate Holder</w:t>
      </w:r>
      <w:r>
        <w:rPr>
          <w:w w:val="100"/>
        </w:rPr>
        <w:t>. Any person holding a current certificate as an Engineer Intern or a Land Surveyor Intern or a business entity (which is also herein referred to as a “person”) holding a current certificate of authorization, which has been duly issued by the Board.</w:t>
      </w:r>
      <w:r>
        <w:rPr>
          <w:w w:val="100"/>
        </w:rPr>
        <w:tab/>
        <w:t>(5-8-09)</w:t>
      </w:r>
    </w:p>
    <w:p w:rsidR="00477F57" w:rsidRDefault="00477F57">
      <w:pPr>
        <w:pStyle w:val="Body"/>
        <w:rPr>
          <w:w w:val="100"/>
        </w:rPr>
      </w:pPr>
    </w:p>
    <w:p w:rsidR="00477F57" w:rsidRDefault="00477F57">
      <w:pPr>
        <w:pStyle w:val="Body"/>
        <w:rPr>
          <w:w w:val="100"/>
        </w:rPr>
      </w:pPr>
      <w:r>
        <w:rPr>
          <w:rStyle w:val="Bold"/>
          <w:bCs/>
          <w:lang w:eastAsia="en-US"/>
        </w:rPr>
        <w:tab/>
        <w:t>03.</w:t>
      </w:r>
      <w:r>
        <w:rPr>
          <w:rStyle w:val="Bold"/>
          <w:bCs/>
          <w:lang w:eastAsia="en-US"/>
        </w:rPr>
        <w:tab/>
      </w:r>
      <w:r>
        <w:rPr>
          <w:rStyle w:val="Bold"/>
          <w:bCs/>
          <w:lang w:eastAsia="en-US"/>
        </w:rPr>
        <w:fldChar w:fldCharType="begin"/>
      </w:r>
      <w:r>
        <w:rPr>
          <w:rStyle w:val="Bold"/>
          <w:bCs/>
          <w:lang w:eastAsia="en-US"/>
        </w:rPr>
        <w:instrText>xe "Deceit"</w:instrText>
      </w:r>
      <w:r>
        <w:rPr>
          <w:rStyle w:val="Bold"/>
          <w:bCs/>
          <w:lang w:eastAsia="en-US"/>
        </w:rPr>
        <w:fldChar w:fldCharType="end"/>
      </w:r>
      <w:r>
        <w:rPr>
          <w:rStyle w:val="Bold"/>
          <w:bCs/>
          <w:lang w:eastAsia="en-US"/>
        </w:rPr>
        <w:t>Deceit</w:t>
      </w:r>
      <w:r>
        <w:rPr>
          <w:w w:val="100"/>
        </w:rPr>
        <w:t>. To intentionally misrepresent a material matter, or intentionally omit to disclose a known material matter.</w:t>
      </w:r>
      <w:r>
        <w:rPr>
          <w:w w:val="100"/>
        </w:rPr>
        <w:tab/>
      </w:r>
      <w:r>
        <w:rPr>
          <w:w w:val="100"/>
        </w:rPr>
        <w:tab/>
        <w:t>(3-29-10)</w:t>
      </w:r>
    </w:p>
    <w:p w:rsidR="00477F57" w:rsidRDefault="00477F57">
      <w:pPr>
        <w:pStyle w:val="Body"/>
        <w:rPr>
          <w:w w:val="100"/>
        </w:rPr>
      </w:pPr>
    </w:p>
    <w:p w:rsidR="00477F57" w:rsidRDefault="00477F57">
      <w:pPr>
        <w:pStyle w:val="Body"/>
        <w:rPr>
          <w:w w:val="100"/>
        </w:rPr>
      </w:pPr>
      <w:r>
        <w:rPr>
          <w:rStyle w:val="Bold"/>
          <w:bCs/>
          <w:lang w:eastAsia="en-US"/>
        </w:rPr>
        <w:tab/>
        <w:t>04.</w:t>
      </w:r>
      <w:r>
        <w:rPr>
          <w:rStyle w:val="Bold"/>
          <w:bCs/>
          <w:lang w:eastAsia="en-US"/>
        </w:rPr>
        <w:tab/>
      </w:r>
      <w:r>
        <w:rPr>
          <w:rStyle w:val="Bold"/>
          <w:bCs/>
          <w:lang w:eastAsia="en-US"/>
        </w:rPr>
        <w:fldChar w:fldCharType="begin"/>
      </w:r>
      <w:r>
        <w:rPr>
          <w:rStyle w:val="Bold"/>
          <w:bCs/>
          <w:lang w:eastAsia="en-US"/>
        </w:rPr>
        <w:instrText>xe "Incompetence"</w:instrText>
      </w:r>
      <w:r>
        <w:rPr>
          <w:rStyle w:val="Bold"/>
          <w:bCs/>
          <w:lang w:eastAsia="en-US"/>
        </w:rPr>
        <w:fldChar w:fldCharType="end"/>
      </w:r>
      <w:r>
        <w:rPr>
          <w:rStyle w:val="Bold"/>
          <w:bCs/>
          <w:lang w:eastAsia="en-US"/>
        </w:rPr>
        <w:t>Incompetence</w:t>
      </w:r>
      <w:r>
        <w:rPr>
          <w:w w:val="100"/>
        </w:rPr>
        <w:t>. Failure to meet the standard of care.</w:t>
      </w:r>
      <w:r>
        <w:rPr>
          <w:w w:val="100"/>
        </w:rPr>
        <w:tab/>
        <w:t>(3-29-10)</w:t>
      </w:r>
    </w:p>
    <w:p w:rsidR="00477F57" w:rsidRDefault="00477F57">
      <w:pPr>
        <w:pStyle w:val="Body"/>
        <w:rPr>
          <w:w w:val="100"/>
        </w:rPr>
      </w:pPr>
    </w:p>
    <w:p w:rsidR="00477F57" w:rsidRDefault="00477F57">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"Licensee"</w:instrText>
      </w:r>
      <w:r>
        <w:rPr>
          <w:rStyle w:val="Bold"/>
          <w:bCs/>
          <w:lang w:eastAsia="en-US"/>
        </w:rPr>
        <w:fldChar w:fldCharType="end"/>
      </w:r>
      <w:r>
        <w:rPr>
          <w:rStyle w:val="Bold"/>
          <w:bCs/>
          <w:lang w:eastAsia="en-US"/>
        </w:rPr>
        <w:t>Licensee</w:t>
      </w:r>
      <w:r>
        <w:rPr>
          <w:w w:val="100"/>
        </w:rPr>
        <w:t>. Any person holding a current license as a Professional Engineer, a Professional Land Surveyor, or a combination thereof, which has been duly issued by the Board.</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06.</w:t>
      </w:r>
      <w:r>
        <w:rPr>
          <w:rStyle w:val="Bold"/>
          <w:bCs/>
          <w:lang w:eastAsia="en-US"/>
        </w:rPr>
        <w:tab/>
      </w:r>
      <w:r>
        <w:rPr>
          <w:rStyle w:val="Bold"/>
          <w:bCs/>
          <w:lang w:eastAsia="en-US"/>
        </w:rPr>
        <w:fldChar w:fldCharType="begin"/>
      </w:r>
      <w:r>
        <w:rPr>
          <w:rStyle w:val="Bold"/>
          <w:bCs/>
          <w:lang w:eastAsia="en-US"/>
        </w:rPr>
        <w:instrText>xe "Misconduct"</w:instrText>
      </w:r>
      <w:r>
        <w:rPr>
          <w:rStyle w:val="Bold"/>
          <w:bCs/>
          <w:lang w:eastAsia="en-US"/>
        </w:rPr>
        <w:fldChar w:fldCharType="end"/>
      </w:r>
      <w:r>
        <w:rPr>
          <w:rStyle w:val="Bold"/>
          <w:bCs/>
          <w:lang w:eastAsia="en-US"/>
        </w:rPr>
        <w:t>Misconduct</w:t>
      </w:r>
      <w:r>
        <w:rPr>
          <w:w w:val="100"/>
        </w:rPr>
        <w:t>. A violation or attempt to violate these rules of professional responsibility or to knowingly assist or induce another to do so, or do so through the acts of another; a finding of guilt of commitment of a felony or a plea of guilty to a felony; commit fraud or deceit; state or imply an ability to influence improperly a government agency or official.</w:t>
      </w:r>
      <w:r>
        <w:rPr>
          <w:w w:val="100"/>
        </w:rPr>
        <w:tab/>
        <w:t>(3-29-10)</w:t>
      </w:r>
    </w:p>
    <w:p w:rsidR="00477F57" w:rsidRDefault="00477F57">
      <w:pPr>
        <w:pStyle w:val="Body"/>
        <w:rPr>
          <w:w w:val="100"/>
        </w:rPr>
      </w:pPr>
    </w:p>
    <w:p w:rsidR="00477F57" w:rsidRDefault="00477F57">
      <w:pPr>
        <w:pStyle w:val="SectionNameTOC"/>
        <w:rPr>
          <w:w w:val="100"/>
        </w:rPr>
      </w:pPr>
      <w:r>
        <w:rPr>
          <w:w w:val="100"/>
        </w:rPr>
        <w:t>005.</w:t>
      </w:r>
      <w:r>
        <w:rPr>
          <w:w w:val="100"/>
        </w:rPr>
        <w:tab/>
      </w:r>
      <w:r>
        <w:rPr>
          <w:w w:val="100"/>
        </w:rPr>
        <w:fldChar w:fldCharType="begin"/>
      </w:r>
      <w:r>
        <w:rPr>
          <w:w w:val="100"/>
        </w:rPr>
        <w:instrText>xe "Responsibility To The Public"</w:instrText>
      </w:r>
      <w:r>
        <w:rPr>
          <w:w w:val="100"/>
        </w:rPr>
        <w:fldChar w:fldCharType="end"/>
      </w:r>
      <w:r>
        <w:rPr>
          <w:w w:val="100"/>
        </w:rPr>
        <w:t>Responsibility To The Public.</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"Primary Obligation"</w:instrText>
      </w:r>
      <w:r>
        <w:rPr>
          <w:rStyle w:val="Bold"/>
          <w:bCs/>
          <w:lang w:eastAsia="en-US"/>
        </w:rPr>
        <w:fldChar w:fldCharType="end"/>
      </w:r>
      <w:r>
        <w:rPr>
          <w:rStyle w:val="Bold"/>
          <w:bCs/>
          <w:lang w:eastAsia="en-US"/>
        </w:rPr>
        <w:t>Primary Obligation</w:t>
      </w:r>
      <w:r>
        <w:rPr>
          <w:w w:val="100"/>
        </w:rPr>
        <w:t>. All Licensees and Certificate Holders shall at all times recognize their primary obligation is to protect the safety, health and welfare of the public in the performance of their professional duties.</w:t>
      </w:r>
    </w:p>
    <w:p w:rsidR="00477F57" w:rsidRDefault="00477F57">
      <w:pPr>
        <w:pStyle w:val="Body"/>
        <w:rPr>
          <w:w w:val="100"/>
        </w:rPr>
      </w:pPr>
      <w:r>
        <w:rPr>
          <w:w w:val="100"/>
        </w:rPr>
        <w:tab/>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"Standard of Care"</w:instrText>
      </w:r>
      <w:r>
        <w:rPr>
          <w:rStyle w:val="Bold"/>
          <w:bCs/>
          <w:lang w:eastAsia="en-US"/>
        </w:rPr>
        <w:fldChar w:fldCharType="end"/>
      </w:r>
      <w:r>
        <w:rPr>
          <w:rStyle w:val="Bold"/>
          <w:bCs/>
          <w:lang w:eastAsia="en-US"/>
        </w:rPr>
        <w:t>Standard of Care</w:t>
      </w:r>
      <w:r>
        <w:rPr>
          <w:w w:val="100"/>
        </w:rPr>
        <w:t>. Each Licensee and Certificate Holder shall exercise such care, skill and diligence as others in that profession ordinarily exercise under like circumstances.</w:t>
      </w:r>
      <w:r>
        <w:rPr>
          <w:w w:val="100"/>
        </w:rPr>
        <w:tab/>
        <w:t>(3-29-10)</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"Professional Judgment"</w:instrText>
      </w:r>
      <w:r>
        <w:rPr>
          <w:rStyle w:val="Bold"/>
          <w:bCs/>
          <w:lang w:eastAsia="en-US"/>
        </w:rPr>
        <w:fldChar w:fldCharType="end"/>
      </w:r>
      <w:r>
        <w:rPr>
          <w:rStyle w:val="Bold"/>
          <w:bCs/>
          <w:lang w:eastAsia="en-US"/>
        </w:rPr>
        <w:t>Professional Judgment</w:t>
      </w:r>
      <w:r>
        <w:rPr>
          <w:w w:val="100"/>
        </w:rPr>
        <w:t>. If any Licensee’s or Certificate Holder’s professional judgment is overruled under circumstances where the safety, health and welfare of the public are endangered, the Licensee or Certificate Holder shall inform the employer or client of the possible consequences and, where appropriate, notify the Board or such other authority of the situation.</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"Obligation to Communicate Discovery of Discrepancy"</w:instrText>
      </w:r>
      <w:r>
        <w:rPr>
          <w:rStyle w:val="Bold"/>
          <w:bCs/>
          <w:lang w:eastAsia="en-US"/>
        </w:rPr>
        <w:fldChar w:fldCharType="end"/>
      </w:r>
      <w:r>
        <w:rPr>
          <w:rStyle w:val="Bold"/>
          <w:bCs/>
          <w:lang w:eastAsia="en-US"/>
        </w:rPr>
        <w:t>Obligation to Communicate Discovery of Discrepancy</w:t>
      </w:r>
      <w:r>
        <w:rPr>
          <w:w w:val="100"/>
        </w:rPr>
        <w:t>. If a Licensee or Certificate Holder, during the course of his work, discovers a material discrepancy, error, or omission in the work of another Licensee or Certificate Holder, which may impact the health, property and welfare of the public, the discoverer shall make a reasonable effort to inform, in writing, the Licensee or Certificate Holder whose work is believed to contain the discrepancy, error or omission. Such communication shall reference specific codes, standards or physical laws which are believed to be violated and identification of documents which are believed to contain the discrepancies. The Licensee or Certificate Holder whose work is believed to contain the discrepancy shall respond in writing within sixty (60) calendar days to any question about his work raised by another Licensee or Certificate Holder. Failure to respond on the part of the Licensee or Certificate Holder whose work is believed to contain the discrepancy shall be considered a violation of these rules and may subject the Licensee or Certificate Holder to disciplinary action by the Board. The discoverer shall notify the Board in the event a response satisfactory to the discoverer is not obtained within sixty (60) days.</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"Obligation to Comply With Rules of Continuing Professional Development"</w:instrText>
      </w:r>
      <w:r>
        <w:rPr>
          <w:rStyle w:val="Bold"/>
          <w:bCs/>
          <w:lang w:eastAsia="en-US"/>
        </w:rPr>
        <w:fldChar w:fldCharType="end"/>
      </w:r>
      <w:r>
        <w:rPr>
          <w:rStyle w:val="Bold"/>
          <w:bCs/>
          <w:lang w:eastAsia="en-US"/>
        </w:rPr>
        <w:t>Obligation to Comply with Rules of Continuing Professional Development</w:t>
      </w:r>
      <w:r>
        <w:rPr>
          <w:w w:val="100"/>
        </w:rPr>
        <w:t>. All Licensees shall comply with the requirements contained in IDAPA 10.01.04, “Rules of Continuing Professional Development.”</w:t>
      </w:r>
      <w:r>
        <w:rPr>
          <w:w w:val="100"/>
        </w:rPr>
        <w:tab/>
      </w:r>
      <w:r>
        <w:rPr>
          <w:w w:val="100"/>
        </w:rPr>
        <w:tab/>
        <w:t>(5-8-09)</w:t>
      </w:r>
    </w:p>
    <w:p w:rsidR="00477F57" w:rsidRDefault="00477F57">
      <w:pPr>
        <w:pStyle w:val="Body"/>
        <w:rPr>
          <w:w w:val="100"/>
        </w:rPr>
      </w:pPr>
    </w:p>
    <w:p w:rsidR="00477F57" w:rsidRDefault="00477F57">
      <w:pPr>
        <w:pStyle w:val="SectionNameTOC"/>
        <w:rPr>
          <w:w w:val="100"/>
        </w:rPr>
      </w:pPr>
      <w:r>
        <w:rPr>
          <w:w w:val="100"/>
        </w:rPr>
        <w:t>006.</w:t>
      </w:r>
      <w:r>
        <w:rPr>
          <w:w w:val="100"/>
        </w:rPr>
        <w:tab/>
      </w:r>
      <w:r>
        <w:rPr>
          <w:w w:val="100"/>
        </w:rPr>
        <w:fldChar w:fldCharType="begin"/>
      </w:r>
      <w:r>
        <w:rPr>
          <w:w w:val="100"/>
        </w:rPr>
        <w:instrText>xe "Competency For Assignments"</w:instrText>
      </w:r>
      <w:r>
        <w:rPr>
          <w:w w:val="100"/>
        </w:rPr>
        <w:fldChar w:fldCharType="end"/>
      </w:r>
      <w:r>
        <w:rPr>
          <w:w w:val="100"/>
        </w:rPr>
        <w:t>Competency For Assignments.</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"Assignments in Field of Competence"</w:instrText>
      </w:r>
      <w:r>
        <w:rPr>
          <w:rStyle w:val="Bold"/>
          <w:bCs/>
          <w:lang w:eastAsia="en-US"/>
        </w:rPr>
        <w:fldChar w:fldCharType="end"/>
      </w:r>
      <w:r>
        <w:rPr>
          <w:rStyle w:val="Bold"/>
          <w:bCs/>
          <w:lang w:eastAsia="en-US"/>
        </w:rPr>
        <w:t>Assignments in Field of Competence</w:t>
      </w:r>
      <w:r>
        <w:rPr>
          <w:w w:val="100"/>
        </w:rPr>
        <w:t>. A Licensee shall undertake to perform assignments only when qualified by education or experience in the specific technical field involved, however, a Licensee, as the prime professional, may accept an assignment requiring education or experience outside of his own field of competence, but his services are restricted to those phases of the project in which the Licensee is qualified. All other phases of such project shall be performed by qualified associates, consultants or employees. For projects encompassing one (1) or more disciplines beyond the Licensee’s competence, a Licensee may sign and seal the cover sheet for the total project only when the Licensee has first determined that all elements of the project have been prepared, signed and sealed by others who are competent, licensed and qualified to perform such services.</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"Aiding &amp; Abetting An Unregistered Person"</w:instrText>
      </w:r>
      <w:r>
        <w:rPr>
          <w:rStyle w:val="Bold"/>
          <w:bCs/>
          <w:lang w:eastAsia="en-US"/>
        </w:rPr>
        <w:fldChar w:fldCharType="end"/>
      </w:r>
      <w:r>
        <w:rPr>
          <w:rStyle w:val="Bold"/>
          <w:bCs/>
          <w:lang w:eastAsia="en-US"/>
        </w:rPr>
        <w:t>Aiding and Abetting an Unlicensed Person</w:t>
      </w:r>
      <w:r>
        <w:rPr>
          <w:w w:val="100"/>
        </w:rPr>
        <w:t>. A Licensee or Certificate Holder shall avoid actions and procedures which, in effect, amount to aiding and abetting an unlicensed person to practice engineering or land surveying.</w:t>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"Use of Seal on Documents"</w:instrText>
      </w:r>
      <w:r>
        <w:rPr>
          <w:rStyle w:val="Bold"/>
          <w:bCs/>
          <w:lang w:eastAsia="en-US"/>
        </w:rPr>
        <w:fldChar w:fldCharType="end"/>
      </w:r>
      <w:r>
        <w:rPr>
          <w:rStyle w:val="Bold"/>
          <w:bCs/>
          <w:lang w:eastAsia="en-US"/>
        </w:rPr>
        <w:t>Use of Seal on Documents</w:t>
      </w:r>
      <w:r>
        <w:rPr>
          <w:w w:val="100"/>
        </w:rPr>
        <w:t>. A Licensee shall affix his signature and seal only to plans or documents prepared under his responsible charge.</w:t>
      </w:r>
      <w:r>
        <w:rPr>
          <w:w w:val="100"/>
        </w:rPr>
        <w:tab/>
        <w:t>(5-8-09)</w:t>
      </w:r>
    </w:p>
    <w:p w:rsidR="00477F57" w:rsidRDefault="00477F57">
      <w:pPr>
        <w:pStyle w:val="Body"/>
        <w:rPr>
          <w:w w:val="100"/>
        </w:rPr>
      </w:pPr>
    </w:p>
    <w:p w:rsidR="00477F57" w:rsidRDefault="00477F57">
      <w:pPr>
        <w:pStyle w:val="SectionNameTOC"/>
        <w:rPr>
          <w:w w:val="100"/>
        </w:rPr>
      </w:pPr>
      <w:r>
        <w:rPr>
          <w:w w:val="100"/>
        </w:rPr>
        <w:t>007.</w:t>
      </w:r>
      <w:r>
        <w:rPr>
          <w:w w:val="100"/>
        </w:rPr>
        <w:tab/>
      </w:r>
      <w:r>
        <w:rPr>
          <w:w w:val="100"/>
        </w:rPr>
        <w:fldChar w:fldCharType="begin"/>
      </w:r>
      <w:r>
        <w:rPr>
          <w:w w:val="100"/>
        </w:rPr>
        <w:instrText>xe "Public Statements"</w:instrText>
      </w:r>
      <w:r>
        <w:rPr>
          <w:w w:val="100"/>
        </w:rPr>
        <w:fldChar w:fldCharType="end"/>
      </w:r>
      <w:r>
        <w:rPr>
          <w:w w:val="100"/>
        </w:rPr>
        <w:t>Public Statements.</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"Reports, Statements or Testimony"</w:instrText>
      </w:r>
      <w:r>
        <w:rPr>
          <w:rStyle w:val="Bold"/>
          <w:bCs/>
          <w:lang w:eastAsia="en-US"/>
        </w:rPr>
        <w:fldChar w:fldCharType="end"/>
      </w:r>
      <w:r>
        <w:rPr>
          <w:rStyle w:val="Bold"/>
          <w:bCs/>
          <w:lang w:eastAsia="en-US"/>
        </w:rPr>
        <w:t>Reports, Statements or Testimony</w:t>
      </w:r>
      <w:r>
        <w:rPr>
          <w:w w:val="100"/>
        </w:rPr>
        <w:t>. A Licensee shall not commit fraud, violate the standard of care, or engage in deceit or misconduct in professional reports, statements or testimony. He shall, to the best of his knowledge, include all relevant and pertinent information in such reports, statements or testimony.</w:t>
      </w:r>
      <w:r>
        <w:rPr>
          <w:w w:val="100"/>
        </w:rPr>
        <w:tab/>
        <w:t>(3-29-10)</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"Opinions Based on Adequate Knowledge"</w:instrText>
      </w:r>
      <w:r>
        <w:rPr>
          <w:rStyle w:val="Bold"/>
          <w:bCs/>
          <w:lang w:eastAsia="en-US"/>
        </w:rPr>
        <w:fldChar w:fldCharType="end"/>
      </w:r>
      <w:r>
        <w:rPr>
          <w:rStyle w:val="Bold"/>
          <w:bCs/>
          <w:lang w:eastAsia="en-US"/>
        </w:rPr>
        <w:t>Opinions Based on Adequate Knowledge</w:t>
      </w:r>
      <w:r>
        <w:rPr>
          <w:w w:val="100"/>
        </w:rPr>
        <w:t>. A Licensee or Certificate Holder, when serving as an expert or technical witness before any court, commission or other tribunal, shall express an opinion only when it is founded upon adequate knowledge of the facts in issue, upon a background of technical competence in the subject matter, and upon honest conviction of the accuracy and propriety of his testimony.</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"Statements Regarding Public Policy"</w:instrText>
      </w:r>
      <w:r>
        <w:rPr>
          <w:rStyle w:val="Bold"/>
          <w:bCs/>
          <w:lang w:eastAsia="en-US"/>
        </w:rPr>
        <w:fldChar w:fldCharType="end"/>
      </w:r>
      <w:r>
        <w:rPr>
          <w:rStyle w:val="Bold"/>
          <w:bCs/>
          <w:lang w:eastAsia="en-US"/>
        </w:rPr>
        <w:t>Statements Regarding Public Policy</w:t>
      </w:r>
      <w:r>
        <w:rPr>
          <w:w w:val="100"/>
        </w:rPr>
        <w:t>. On matters connected with establishing public policy a Licensee or Certificate Holder shall issue no statements, criticisms or arguments which are paid for by an interested party, or parties, unless he has prefaced his comment by explicitly identifying himself, by disclosing the identities of the party, or parties, on whose behalf he is speaking, and by revealing the existence of any pecuniary interest he may have in the matters.</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"Actions in Regard to Other Registrants or Certificate Holders"</w:instrText>
      </w:r>
      <w:r>
        <w:rPr>
          <w:rStyle w:val="Bold"/>
          <w:bCs/>
          <w:lang w:eastAsia="en-US"/>
        </w:rPr>
        <w:fldChar w:fldCharType="end"/>
      </w:r>
      <w:r>
        <w:rPr>
          <w:rStyle w:val="Bold"/>
          <w:bCs/>
          <w:lang w:eastAsia="en-US"/>
        </w:rPr>
        <w:t>Actions in Regard to Other Registrants or Certificate Holders</w:t>
      </w:r>
      <w:r>
        <w:rPr>
          <w:w w:val="100"/>
        </w:rPr>
        <w:t>. A Licensee or Certificate Holder shall not attempt to injure, maliciously or falsely, directly or indirectly, the professional reputation, prospects, practice or employment of another Licensee or Certificate Holder, nor shall he indiscriminately criticize another Licensee’s or Certificate Holder’s work in public. If he believes that another Licensee or Certificate Holder is guilty of fraud, deceit, negligence, incompetence, misconduct or violation of these rules he should present such information to the Board for action.</w:t>
      </w:r>
      <w:r>
        <w:rPr>
          <w:w w:val="100"/>
        </w:rPr>
        <w:tab/>
        <w:t>(5-8-09)</w:t>
      </w:r>
    </w:p>
    <w:p w:rsidR="00477F57" w:rsidRDefault="00477F57">
      <w:pPr>
        <w:pStyle w:val="Body"/>
        <w:rPr>
          <w:w w:val="100"/>
        </w:rPr>
      </w:pPr>
    </w:p>
    <w:p w:rsidR="00477F57" w:rsidRDefault="00477F57">
      <w:pPr>
        <w:pStyle w:val="SectionNameTOC"/>
        <w:rPr>
          <w:w w:val="100"/>
        </w:rPr>
      </w:pPr>
      <w:r>
        <w:rPr>
          <w:w w:val="100"/>
        </w:rPr>
        <w:t>008.</w:t>
      </w:r>
      <w:r>
        <w:rPr>
          <w:w w:val="100"/>
        </w:rPr>
        <w:tab/>
      </w:r>
      <w:r>
        <w:rPr>
          <w:w w:val="100"/>
        </w:rPr>
        <w:fldChar w:fldCharType="begin"/>
      </w:r>
      <w:r>
        <w:rPr>
          <w:w w:val="100"/>
        </w:rPr>
        <w:instrText>xe "Conflict Of Interest"</w:instrText>
      </w:r>
      <w:r>
        <w:rPr>
          <w:w w:val="100"/>
        </w:rPr>
        <w:fldChar w:fldCharType="end"/>
      </w:r>
      <w:r>
        <w:rPr>
          <w:w w:val="100"/>
        </w:rPr>
        <w:t>Conflict Of Interest.</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"Conflict of Interest to be Avoided"</w:instrText>
      </w:r>
      <w:r>
        <w:rPr>
          <w:rStyle w:val="Bold"/>
          <w:bCs/>
          <w:lang w:eastAsia="en-US"/>
        </w:rPr>
        <w:fldChar w:fldCharType="end"/>
      </w:r>
      <w:r>
        <w:rPr>
          <w:rStyle w:val="Bold"/>
          <w:bCs/>
          <w:lang w:eastAsia="en-US"/>
        </w:rPr>
        <w:t>Conflict of Interest to Be Avoided</w:t>
      </w:r>
      <w:r>
        <w:rPr>
          <w:w w:val="100"/>
        </w:rPr>
        <w:t>. Each Licensee or Certificate Holder shall conscientiously avoid conflict of interest with an employer or client, and, when unavoidable, shall forthwith disclose the circumstances in writing to the employer or client. In addition, the Licensee or Certificate Holder shall promptly inform the employer or client in writing of any business association, interests, or circumstances which could influence a Licensee’s or Certificate Holder’s judgment or quality of service, or jeopardize the clients’ interests.</w:t>
      </w:r>
      <w:r>
        <w:rPr>
          <w:w w:val="100"/>
        </w:rPr>
        <w:tab/>
      </w:r>
    </w:p>
    <w:p w:rsidR="00477F57" w:rsidRDefault="00477F57">
      <w:pPr>
        <w:pStyle w:val="Body"/>
        <w:rPr>
          <w:w w:val="100"/>
        </w:rPr>
      </w:pPr>
      <w:r>
        <w:rPr>
          <w:w w:val="100"/>
        </w:rPr>
        <w:tab/>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"Compensations From Multiple Parties on the Same Project"</w:instrText>
      </w:r>
      <w:r>
        <w:rPr>
          <w:rStyle w:val="Bold"/>
          <w:bCs/>
          <w:lang w:eastAsia="en-US"/>
        </w:rPr>
        <w:fldChar w:fldCharType="end"/>
      </w:r>
      <w:r>
        <w:rPr>
          <w:rStyle w:val="Bold"/>
          <w:bCs/>
          <w:lang w:eastAsia="en-US"/>
        </w:rPr>
        <w:t>Compensations From Multiple Parties on the Same Project</w:t>
      </w:r>
      <w:r>
        <w:rPr>
          <w:w w:val="100"/>
        </w:rPr>
        <w:t>. A Licensee or Certificate Holder may accept compensation, financial or otherwise, from more than one (1) party for services on the same project, or for services pertaining to the same project, provided the circumstances are fully disclosed, in writing, in advance and agreed to by all interested parties.</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"Solicitation From Material or Equipment Suppliers"</w:instrText>
      </w:r>
      <w:r>
        <w:rPr>
          <w:rStyle w:val="Bold"/>
          <w:bCs/>
          <w:lang w:eastAsia="en-US"/>
        </w:rPr>
        <w:fldChar w:fldCharType="end"/>
      </w:r>
      <w:r>
        <w:rPr>
          <w:rStyle w:val="Bold"/>
          <w:bCs/>
          <w:lang w:eastAsia="en-US"/>
        </w:rPr>
        <w:t>Solicitation From Material or Equipment Suppliers</w:t>
      </w:r>
      <w:r>
        <w:rPr>
          <w:w w:val="100"/>
        </w:rPr>
        <w:t>. A Licensee or Certificate Holder shall not solicit or accept financial or other valuable considerations from material or equipment suppliers for specifying or recommending the products of said suppliers, except with full disclosure as outlined in Subsection 008.02.</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"Gratuities"</w:instrText>
      </w:r>
      <w:r>
        <w:rPr>
          <w:rStyle w:val="Bold"/>
          <w:bCs/>
          <w:lang w:eastAsia="en-US"/>
        </w:rPr>
        <w:fldChar w:fldCharType="end"/>
      </w:r>
      <w:r>
        <w:rPr>
          <w:rStyle w:val="Bold"/>
          <w:bCs/>
          <w:lang w:eastAsia="en-US"/>
        </w:rPr>
        <w:t>Gratuities</w:t>
      </w:r>
      <w:r>
        <w:rPr>
          <w:w w:val="100"/>
        </w:rPr>
        <w:t>. A Licensee or Certificate Holder shall not solicit or accept gratuities, gifts, travel, lodging, loans, entertainment or other favors directly or indirectly, from contractors, their agents or other third parties dealing with a client or employer in connection with work for which the Licensee or Certificate Holder is responsible, which can be construed to be an effort to improperly influence the Licensee’s or Certificate Holder’s professional judgment. Minor expenditures such as advertising trinkets, novelties and meals are excluded. Neither shall a Licensee or Certificate Holder make any such improper offer.</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"Solicitation From Agencies"</w:instrText>
      </w:r>
      <w:r>
        <w:rPr>
          <w:rStyle w:val="Bold"/>
          <w:bCs/>
          <w:lang w:eastAsia="en-US"/>
        </w:rPr>
        <w:fldChar w:fldCharType="end"/>
      </w:r>
      <w:r>
        <w:rPr>
          <w:rStyle w:val="Bold"/>
          <w:bCs/>
          <w:lang w:eastAsia="en-US"/>
        </w:rPr>
        <w:t>Solicitation From Agencies</w:t>
      </w:r>
      <w:r>
        <w:rPr>
          <w:w w:val="100"/>
        </w:rPr>
        <w:t>. A Licensee, a Certificate Holder or a representative thereof shall not solicit or accept a contract from a governmental authority on which an existing principal or officer of his organization serves as a member of the elected policy and governing body of such governmental authority or serves as a member of an entity of such governmental authority having the right to contract for the services of a Licensee or a Certificate Holder.</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06.</w:t>
      </w:r>
      <w:r>
        <w:rPr>
          <w:rStyle w:val="Bold"/>
          <w:bCs/>
          <w:lang w:eastAsia="en-US"/>
        </w:rPr>
        <w:tab/>
      </w:r>
      <w:r>
        <w:rPr>
          <w:rStyle w:val="Bold"/>
          <w:bCs/>
          <w:lang w:eastAsia="en-US"/>
        </w:rPr>
        <w:fldChar w:fldCharType="begin"/>
      </w:r>
      <w:r>
        <w:rPr>
          <w:rStyle w:val="Bold"/>
          <w:bCs/>
          <w:lang w:eastAsia="en-US"/>
        </w:rPr>
        <w:instrText>xe "Professional Services Decisions of Agencies"</w:instrText>
      </w:r>
      <w:r>
        <w:rPr>
          <w:rStyle w:val="Bold"/>
          <w:bCs/>
          <w:lang w:eastAsia="en-US"/>
        </w:rPr>
        <w:fldChar w:fldCharType="end"/>
      </w:r>
      <w:r>
        <w:rPr>
          <w:rStyle w:val="Bold"/>
          <w:bCs/>
          <w:lang w:eastAsia="en-US"/>
        </w:rPr>
        <w:t>Professional Services Decisions of Agencies</w:t>
      </w:r>
      <w:r>
        <w:rPr>
          <w:w w:val="100"/>
        </w:rPr>
        <w:t>. A Licensee, Certificate Holder or representative thereof serving as a member, advisor or consultant to a governmental board, commission or department shall not participate in decisions with respect to professional services to be offered, that have been offered or may have been performed by that person’s associates, firm or employer for the concerned governmental body upon which that person serves, whether such professional services are commissioned by an entity of the said governmental body or by another person or entity.</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07.</w:t>
      </w:r>
      <w:r>
        <w:rPr>
          <w:rStyle w:val="Bold"/>
          <w:bCs/>
          <w:lang w:eastAsia="en-US"/>
        </w:rPr>
        <w:tab/>
      </w:r>
      <w:r>
        <w:rPr>
          <w:rStyle w:val="Bold"/>
          <w:bCs/>
          <w:lang w:eastAsia="en-US"/>
        </w:rPr>
        <w:fldChar w:fldCharType="begin"/>
      </w:r>
      <w:r>
        <w:rPr>
          <w:rStyle w:val="Bold"/>
          <w:bCs/>
          <w:lang w:eastAsia="en-US"/>
        </w:rPr>
        <w:instrText>xe "Unfair Advantage of Position &amp; Work Outside Regular Employment"</w:instrText>
      </w:r>
      <w:r>
        <w:rPr>
          <w:rStyle w:val="Bold"/>
          <w:bCs/>
          <w:lang w:eastAsia="en-US"/>
        </w:rPr>
        <w:fldChar w:fldCharType="end"/>
      </w:r>
      <w:r>
        <w:rPr>
          <w:rStyle w:val="Bold"/>
          <w:bCs/>
          <w:lang w:eastAsia="en-US"/>
        </w:rPr>
        <w:t>Unfair Advantage of Position and Work Outside Regular Employment</w:t>
      </w:r>
      <w:r>
        <w:rPr>
          <w:w w:val="100"/>
        </w:rPr>
        <w:t>. When a Licensee or an individual Certificate Holder is employed in a full time position, the person shall not use the advantages of the position to compete unfairly with other professionals and shall not accept professional employment outside of that person’s regular work or interest without the knowledge of and written permission or authorization from that person’s employer.</w:t>
      </w:r>
      <w:r>
        <w:rPr>
          <w:w w:val="100"/>
        </w:rPr>
        <w:tab/>
        <w:t>(5-8-09)</w:t>
      </w:r>
    </w:p>
    <w:p w:rsidR="00477F57" w:rsidRDefault="00477F57">
      <w:pPr>
        <w:pStyle w:val="Body"/>
        <w:rPr>
          <w:w w:val="100"/>
        </w:rPr>
      </w:pPr>
    </w:p>
    <w:p w:rsidR="00477F57" w:rsidRDefault="00477F57">
      <w:pPr>
        <w:pStyle w:val="SectionNameTOC"/>
        <w:rPr>
          <w:w w:val="100"/>
        </w:rPr>
      </w:pPr>
      <w:r>
        <w:rPr>
          <w:w w:val="100"/>
        </w:rPr>
        <w:t>009.</w:t>
      </w:r>
      <w:r>
        <w:rPr>
          <w:w w:val="100"/>
        </w:rPr>
        <w:tab/>
      </w:r>
      <w:r>
        <w:rPr>
          <w:w w:val="100"/>
        </w:rPr>
        <w:fldChar w:fldCharType="begin"/>
      </w:r>
      <w:r>
        <w:rPr>
          <w:w w:val="100"/>
        </w:rPr>
        <w:instrText>xe "Solicitation Of Work"</w:instrText>
      </w:r>
      <w:r>
        <w:rPr>
          <w:w w:val="100"/>
        </w:rPr>
        <w:fldChar w:fldCharType="end"/>
      </w:r>
      <w:r>
        <w:rPr>
          <w:w w:val="100"/>
        </w:rPr>
        <w:t>Solicitation Of Work.</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t>Commissions</w:t>
      </w:r>
      <w:r>
        <w:rPr>
          <w:w w:val="100"/>
        </w:rPr>
        <w:t>. A Licensee or Certificate Holder shall not pay or offer to pay, either directly or indirectly, any commission, gift or other valuable consideration in an effort to secure work, except to bona fide employees or bona fide established business enterprises retained by a Licensee or Certificate Holder for the purpose of securing business or employment.</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"Representation of Qualifications"</w:instrText>
      </w:r>
      <w:r>
        <w:rPr>
          <w:rStyle w:val="Bold"/>
          <w:bCs/>
          <w:lang w:eastAsia="en-US"/>
        </w:rPr>
        <w:fldChar w:fldCharType="end"/>
      </w:r>
      <w:r>
        <w:rPr>
          <w:rStyle w:val="Bold"/>
          <w:bCs/>
          <w:lang w:eastAsia="en-US"/>
        </w:rPr>
        <w:t>Representation of Qualifications</w:t>
      </w:r>
      <w:r>
        <w:rPr>
          <w:w w:val="100"/>
        </w:rPr>
        <w:t>. A Licensee or Certificate Holder shall not falsify or permit misrepresentation of his or his associates’ academic or professional qualifications, and shall not misrepresent or exaggerate the degree of responsibility in or for the subject matter of prior assignments. Brochures or other presentations incident to the solicitation of employment shall not misrepresent pertinent facts concerning employers, employees, associates, joint-venturers or his or their past accomplishments with the intent and purpose of enhancing qualifications for the work. The Licensee or Certificate Holder shall not indulge in publicity that is misleading.</w:t>
      </w:r>
    </w:p>
    <w:p w:rsidR="00477F57" w:rsidRDefault="00477F57">
      <w:pPr>
        <w:pStyle w:val="Body"/>
        <w:rPr>
          <w:w w:val="100"/>
        </w:rPr>
      </w:pPr>
      <w:r>
        <w:rPr>
          <w:w w:val="100"/>
        </w:rPr>
        <w:tab/>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"Assignment on Which Others are Employed"</w:instrText>
      </w:r>
      <w:r>
        <w:rPr>
          <w:rStyle w:val="Bold"/>
          <w:bCs/>
          <w:lang w:eastAsia="en-US"/>
        </w:rPr>
        <w:fldChar w:fldCharType="end"/>
      </w:r>
      <w:r>
        <w:rPr>
          <w:rStyle w:val="Bold"/>
          <w:bCs/>
          <w:lang w:eastAsia="en-US"/>
        </w:rPr>
        <w:t>Assignment on Which Others Are Employed</w:t>
      </w:r>
      <w:r>
        <w:rPr>
          <w:w w:val="100"/>
        </w:rPr>
        <w:t>. A Licensee or Certificate Holder shall not knowingly seek or accept employment for professional services for an assignment which another Licensee or Certificate Holder is employed, or contracted to perform without the currently employed or contracted entity being informed in writing.</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"Contingency Fee Contracts"</w:instrText>
      </w:r>
      <w:r>
        <w:rPr>
          <w:rStyle w:val="Bold"/>
          <w:bCs/>
          <w:lang w:eastAsia="en-US"/>
        </w:rPr>
        <w:fldChar w:fldCharType="end"/>
      </w:r>
      <w:r>
        <w:rPr>
          <w:rStyle w:val="Bold"/>
          <w:bCs/>
          <w:lang w:eastAsia="en-US"/>
        </w:rPr>
        <w:t>Contingency Fee Contracts</w:t>
      </w:r>
      <w:r>
        <w:rPr>
          <w:w w:val="100"/>
        </w:rPr>
        <w:t>. A Licensee or Certificate Holder shall not accept an agreement, contract, or commission for professional services on a “contingency basis” which may compromise his professional judgment and shall not accept an agreement, contract or commission for professional services which includes provisions wherein the payment of fee involved is contingent on a “favorable” conclusion, recommendation or judgment.</w:t>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"Selection on the Basis of Qualifications"</w:instrText>
      </w:r>
      <w:r>
        <w:rPr>
          <w:rStyle w:val="Bold"/>
          <w:bCs/>
          <w:lang w:eastAsia="en-US"/>
        </w:rPr>
        <w:fldChar w:fldCharType="end"/>
      </w:r>
      <w:r>
        <w:rPr>
          <w:rStyle w:val="Bold"/>
          <w:bCs/>
          <w:lang w:eastAsia="en-US"/>
        </w:rPr>
        <w:t>Selection on the Basis of Qualifications</w:t>
      </w:r>
      <w:r>
        <w:rPr>
          <w:w w:val="100"/>
        </w:rPr>
        <w:t>. A Licensee or Certificate Holder should seek professional employment or professional service work on the basis of qualifications and competence for proper accomplishment of the work assignment. On selections for professional engineering and land surveying services that are required pursuant to Idaho Code Section 67-2320, a licensee or certificate holder, in response to solicitations described in Idaho Code Section 67-2320(2)(a) shall not submit information that constitutes a bid for services requested.</w:t>
      </w:r>
      <w:r>
        <w:rPr>
          <w:w w:val="100"/>
        </w:rPr>
        <w:tab/>
      </w:r>
      <w:r>
        <w:rPr>
          <w:w w:val="100"/>
        </w:rPr>
        <w:tab/>
        <w:t>(5-8-09)</w:t>
      </w:r>
    </w:p>
    <w:p w:rsidR="00477F57" w:rsidRDefault="00477F57">
      <w:pPr>
        <w:pStyle w:val="Body"/>
        <w:rPr>
          <w:w w:val="100"/>
        </w:rPr>
      </w:pPr>
    </w:p>
    <w:p w:rsidR="00477F57" w:rsidRDefault="00477F57">
      <w:pPr>
        <w:pStyle w:val="SectionNameTOC"/>
        <w:rPr>
          <w:w w:val="100"/>
        </w:rPr>
      </w:pPr>
      <w:r>
        <w:rPr>
          <w:w w:val="100"/>
        </w:rPr>
        <w:t>010.</w:t>
      </w:r>
      <w:r>
        <w:rPr>
          <w:w w:val="100"/>
        </w:rPr>
        <w:tab/>
      </w:r>
      <w:r>
        <w:rPr>
          <w:w w:val="100"/>
        </w:rPr>
        <w:fldChar w:fldCharType="begin"/>
      </w:r>
      <w:r>
        <w:rPr>
          <w:w w:val="100"/>
        </w:rPr>
        <w:instrText>xe "Improper Conduct"</w:instrText>
      </w:r>
      <w:r>
        <w:rPr>
          <w:w w:val="100"/>
        </w:rPr>
        <w:fldChar w:fldCharType="end"/>
      </w:r>
      <w:r>
        <w:rPr>
          <w:w w:val="100"/>
        </w:rPr>
        <w:t>Improper Conduct.</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"Fraudulent or Dishonest Enterprises"</w:instrText>
      </w:r>
      <w:r>
        <w:rPr>
          <w:rStyle w:val="Bold"/>
          <w:bCs/>
          <w:lang w:eastAsia="en-US"/>
        </w:rPr>
        <w:fldChar w:fldCharType="end"/>
      </w:r>
      <w:r>
        <w:rPr>
          <w:rStyle w:val="Bold"/>
          <w:bCs/>
          <w:lang w:eastAsia="en-US"/>
        </w:rPr>
        <w:t>Fraudulent or Dishonest Enterprises</w:t>
      </w:r>
      <w:r>
        <w:rPr>
          <w:w w:val="100"/>
        </w:rPr>
        <w:t>. A Licensee or Certificate Holder shall not knowingly associate with, or permit the use of his name or the firm name in a business venture by any person or firm which it is known, or there is reason to believe, is engaging in business or professional practices of a fraudulent or dishonest nature.</w:t>
      </w:r>
      <w:r>
        <w:rPr>
          <w:w w:val="100"/>
        </w:rPr>
        <w:tab/>
      </w:r>
      <w:r>
        <w:rPr>
          <w:w w:val="100"/>
        </w:rPr>
        <w:tab/>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t>Confidentiality</w:t>
      </w:r>
      <w:r>
        <w:rPr>
          <w:w w:val="100"/>
        </w:rPr>
        <w:t>. Licensees or Certificate Holders shall not reveal confidential facts, data or information obtained in a professional capacity without prior written consent of the client or employer except as authorized or required by law.</w:t>
      </w:r>
      <w:r>
        <w:rPr>
          <w:w w:val="100"/>
        </w:rPr>
        <w:tab/>
        <w:t>(5-8-09)</w:t>
      </w:r>
    </w:p>
    <w:p w:rsidR="00477F57" w:rsidRDefault="00477F57">
      <w:pPr>
        <w:pStyle w:val="Body"/>
        <w:rPr>
          <w:w w:val="100"/>
        </w:rPr>
      </w:pPr>
    </w:p>
    <w:p w:rsidR="00477F57" w:rsidRDefault="00477F57">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"Actions by Other Jurisdictions"</w:instrText>
      </w:r>
      <w:r>
        <w:rPr>
          <w:rStyle w:val="Bold"/>
          <w:bCs/>
          <w:lang w:eastAsia="en-US"/>
        </w:rPr>
        <w:fldChar w:fldCharType="end"/>
      </w:r>
      <w:r>
        <w:rPr>
          <w:rStyle w:val="Bold"/>
          <w:bCs/>
          <w:lang w:eastAsia="en-US"/>
        </w:rPr>
        <w:t>Actions by Other Jurisdictions</w:t>
      </w:r>
      <w:r>
        <w:rPr>
          <w:w w:val="100"/>
        </w:rPr>
        <w:t>. The surrender, revocation, suspension or denial of a license to practice Professional Engineering or Professional Land Surveying, as an individual or through a business entity, in another jurisdiction, for reasons or causes which the Board finds would constitute a violation of the Idaho laws regulating the practice of Engineering and Land Surveying, or any code or rules promulgated by the Board, shall be sufficient cause after a hearing for disciplinary action as provided in Title 54 Chapter 12, Idaho Code.</w:t>
      </w:r>
      <w:r>
        <w:rPr>
          <w:w w:val="100"/>
        </w:rPr>
        <w:tab/>
        <w:t>(5-8-09)</w:t>
      </w:r>
    </w:p>
    <w:p w:rsidR="00477F57" w:rsidRDefault="00477F57">
      <w:pPr>
        <w:pStyle w:val="Body"/>
        <w:rPr>
          <w:w w:val="100"/>
        </w:rPr>
      </w:pPr>
    </w:p>
    <w:p w:rsidR="00477F57" w:rsidRDefault="00477F57">
      <w:pPr>
        <w:pStyle w:val="SectionNameTOC"/>
        <w:rPr>
          <w:w w:val="100"/>
        </w:rPr>
      </w:pPr>
      <w:r>
        <w:rPr>
          <w:w w:val="100"/>
        </w:rPr>
        <w:t>011.</w:t>
      </w:r>
      <w:r>
        <w:rPr>
          <w:w w:val="100"/>
        </w:rPr>
        <w:tab/>
      </w:r>
      <w:r>
        <w:rPr>
          <w:w w:val="100"/>
        </w:rPr>
        <w:fldChar w:fldCharType="begin"/>
      </w:r>
      <w:r>
        <w:rPr>
          <w:w w:val="100"/>
        </w:rPr>
        <w:instrText>xe "Rule &amp; Statute Violations"</w:instrText>
      </w:r>
      <w:r>
        <w:rPr>
          <w:w w:val="100"/>
        </w:rPr>
        <w:fldChar w:fldCharType="end"/>
      </w:r>
      <w:r>
        <w:rPr>
          <w:w w:val="100"/>
        </w:rPr>
        <w:t>Rule And Statute Violations.</w:t>
      </w:r>
    </w:p>
    <w:p w:rsidR="00477F57" w:rsidRDefault="00477F57">
      <w:pPr>
        <w:pStyle w:val="Body"/>
        <w:rPr>
          <w:w w:val="100"/>
        </w:rPr>
      </w:pPr>
    </w:p>
    <w:p w:rsidR="00477F57" w:rsidRDefault="00477F57">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"Affidavits for Rule &amp; Statute Violations"</w:instrText>
      </w:r>
      <w:r>
        <w:rPr>
          <w:rStyle w:val="Bold"/>
          <w:bCs/>
          <w:lang w:eastAsia="en-US"/>
        </w:rPr>
        <w:fldChar w:fldCharType="end"/>
      </w:r>
      <w:r>
        <w:rPr>
          <w:rStyle w:val="Bold"/>
          <w:bCs/>
          <w:lang w:eastAsia="en-US"/>
        </w:rPr>
        <w:t>Affidavits for Rule and Statute Violations</w:t>
      </w:r>
      <w:r>
        <w:rPr>
          <w:w w:val="100"/>
        </w:rPr>
        <w:t>. Any person who believes that a Licensee or Certificate Holder by his actions, or failure to properly act, is guilty of fraud, deceit, negligence, incompetence, misconduct, or violation of these rules, or any applicable statute, may file a written affidavit with the Executive Director of the Board which shall be sworn to or affirmed under penalty of perjury, signed and in which the alleged rule and statute violations shall be clearly set forth and that the applicable Licensee or Certificate Holder, or both, should be considered for the appropriate disciplinary action by the Board. Following the receipt of such affidavit, the Board may investigate, hold hearings and adjudicate the charges. Proceedings shall be exempt from all statutes of limitations.</w:t>
      </w:r>
      <w:r>
        <w:rPr>
          <w:w w:val="100"/>
        </w:rPr>
        <w:tab/>
      </w:r>
      <w:r>
        <w:rPr>
          <w:w w:val="100"/>
        </w:rPr>
        <w:tab/>
        <w:t>(3-29-10)</w:t>
      </w:r>
    </w:p>
    <w:p w:rsidR="00477F57" w:rsidRDefault="00477F57">
      <w:pPr>
        <w:pStyle w:val="Body"/>
        <w:rPr>
          <w:w w:val="100"/>
        </w:rPr>
      </w:pPr>
    </w:p>
    <w:p w:rsidR="00477F57" w:rsidRDefault="00477F57">
      <w:pPr>
        <w:pStyle w:val="Body"/>
        <w:rPr>
          <w:w w:val="100"/>
        </w:rPr>
      </w:pPr>
      <w:r>
        <w:rPr>
          <w:w w:val="100"/>
        </w:rPr>
        <w:tab/>
      </w:r>
      <w:r>
        <w:rPr>
          <w:rStyle w:val="Bold"/>
          <w:bCs/>
          <w:lang w:eastAsia="en-US"/>
        </w:rPr>
        <w:t>02.</w:t>
      </w:r>
      <w:r>
        <w:rPr>
          <w:rStyle w:val="Bold"/>
          <w:bCs/>
          <w:lang w:eastAsia="en-US"/>
        </w:rPr>
        <w:tab/>
        <w:t>Investigation of Statute or Rule Violations</w:t>
      </w:r>
      <w:r>
        <w:rPr>
          <w:w w:val="100"/>
        </w:rPr>
        <w:t>. The Board may, at its own discretion, initiate investigation of alleged or possible statute or rule violations that have come to its attention.</w:t>
      </w:r>
      <w:r>
        <w:rPr>
          <w:w w:val="100"/>
        </w:rPr>
        <w:tab/>
        <w:t>(5-3-03)</w:t>
      </w:r>
    </w:p>
    <w:p w:rsidR="00477F57" w:rsidRDefault="00477F57">
      <w:pPr>
        <w:pStyle w:val="Body"/>
        <w:rPr>
          <w:w w:val="100"/>
        </w:rPr>
      </w:pPr>
    </w:p>
    <w:p w:rsidR="00477F57" w:rsidRDefault="00477F57">
      <w:pPr>
        <w:pStyle w:val="SectionNameTOC2"/>
        <w:rPr>
          <w:w w:val="100"/>
        </w:rPr>
      </w:pPr>
      <w:r>
        <w:rPr>
          <w:w w:val="100"/>
        </w:rPr>
        <w:t>012. -- 996.</w:t>
      </w:r>
      <w:r>
        <w:rPr>
          <w:w w:val="100"/>
        </w:rPr>
        <w:tab/>
        <w:t>(Reserved).</w:t>
      </w:r>
    </w:p>
    <w:p w:rsidR="00477F57" w:rsidRDefault="00477F57">
      <w:pPr>
        <w:pStyle w:val="Body"/>
        <w:rPr>
          <w:w w:val="100"/>
        </w:rPr>
      </w:pPr>
    </w:p>
    <w:p w:rsidR="00477F57" w:rsidRDefault="00477F57">
      <w:pPr>
        <w:pStyle w:val="SectionNameTOC"/>
        <w:rPr>
          <w:w w:val="100"/>
        </w:rPr>
      </w:pPr>
      <w:r>
        <w:rPr>
          <w:w w:val="100"/>
        </w:rPr>
        <w:t>997.</w:t>
      </w:r>
      <w:r>
        <w:rPr>
          <w:w w:val="100"/>
        </w:rPr>
        <w:tab/>
        <w:t>Public Records Act Compliance.</w:t>
      </w:r>
    </w:p>
    <w:p w:rsidR="00477F57" w:rsidRDefault="00477F57">
      <w:pPr>
        <w:pStyle w:val="Body"/>
        <w:rPr>
          <w:w w:val="100"/>
        </w:rPr>
      </w:pPr>
      <w:r>
        <w:rPr>
          <w:w w:val="100"/>
        </w:rPr>
        <w:t>The records associated with the Board are subject to the provisions of the Idaho Public Records Act, Title 9, Chapter 3, Idaho Code.</w:t>
      </w:r>
      <w:r>
        <w:rPr>
          <w:w w:val="100"/>
        </w:rPr>
        <w:tab/>
      </w:r>
      <w:r>
        <w:rPr>
          <w:w w:val="100"/>
        </w:rPr>
        <w:tab/>
        <w:t>(7-1-93)</w:t>
      </w:r>
    </w:p>
    <w:p w:rsidR="00477F57" w:rsidRDefault="00477F57">
      <w:pPr>
        <w:pStyle w:val="Body"/>
        <w:rPr>
          <w:w w:val="100"/>
        </w:rPr>
      </w:pPr>
    </w:p>
    <w:p w:rsidR="00477F57" w:rsidRDefault="00477F57">
      <w:pPr>
        <w:pStyle w:val="SectionNameTOC2"/>
        <w:rPr>
          <w:w w:val="100"/>
        </w:rPr>
      </w:pPr>
      <w:r>
        <w:rPr>
          <w:w w:val="100"/>
        </w:rPr>
        <w:t>998. -- 999.</w:t>
      </w:r>
      <w:r>
        <w:rPr>
          <w:w w:val="100"/>
        </w:rPr>
        <w:tab/>
        <w:t>(Reserved).</w:t>
      </w:r>
    </w:p>
    <w:sectPr w:rsidR="00477F57" w:rsidSect="006557C2">
      <w:headerReference w:type="default" r:id="rId6"/>
      <w:footerReference w:type="default" r:id="rId7"/>
      <w:headerReference w:type="first" r:id="rId8"/>
      <w:footerReference w:type="first" r:id="rId9"/>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F57" w:rsidRDefault="00477F57">
      <w:pPr>
        <w:spacing w:after="0" w:line="240" w:lineRule="auto"/>
      </w:pPr>
      <w:r>
        <w:separator/>
      </w:r>
    </w:p>
  </w:endnote>
  <w:endnote w:type="continuationSeparator" w:id="0">
    <w:p w:rsidR="00477F57" w:rsidRDefault="0047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57" w:rsidRDefault="00477F57">
    <w:pPr>
      <w:pStyle w:val="CellBody-9ptCenterBold"/>
      <w:pBdr>
        <w:top w:val="single" w:sz="8" w:space="0" w:color="auto"/>
      </w:pBdr>
      <w:tabs>
        <w:tab w:val="clear" w:pos="460"/>
        <w:tab w:val="center" w:pos="4680"/>
        <w:tab w:val="right" w:pos="9360"/>
      </w:tabs>
      <w:jc w:val="left"/>
      <w:rPr>
        <w:rFonts w:ascii="Times New Roman" w:hAnsi="Times New Roman" w:cs="Times New Roman"/>
        <w:w w:val="100"/>
        <w:sz w:val="20"/>
        <w:szCs w:val="20"/>
      </w:rPr>
    </w:pPr>
    <w:r>
      <w:rPr>
        <w:rFonts w:ascii="Times New Roman" w:hAnsi="Times New Roman" w:cs="Times New Roman"/>
        <w:b w:val="0"/>
        <w:bCs w:val="0"/>
        <w:w w:val="100"/>
        <w:sz w:val="20"/>
        <w:szCs w:val="20"/>
      </w:rPr>
      <w:t xml:space="preserve"> </w:t>
    </w:r>
    <w:r>
      <w:rPr>
        <w:rFonts w:ascii="Times New Roman" w:hAnsi="Times New Roman" w:cs="Times New Roman"/>
        <w:b w:val="0"/>
        <w:bCs w:val="0"/>
        <w:w w:val="100"/>
        <w:sz w:val="20"/>
        <w:szCs w:val="20"/>
      </w:rPr>
      <w:tab/>
    </w:r>
    <w:r>
      <w:rPr>
        <w:rStyle w:val="Bold"/>
        <w:rFonts w:cs="Times New Roman"/>
        <w:b/>
        <w:szCs w:val="20"/>
        <w:lang w:eastAsia="en-US"/>
      </w:rPr>
      <w:t xml:space="preserve">Page </w:t>
    </w:r>
    <w:r>
      <w:rPr>
        <w:rStyle w:val="Bold"/>
        <w:rFonts w:cs="Times New Roman"/>
        <w:b/>
        <w:szCs w:val="20"/>
        <w:lang w:eastAsia="en-US"/>
      </w:rPr>
      <w:fldChar w:fldCharType="begin"/>
    </w:r>
    <w:r>
      <w:rPr>
        <w:rStyle w:val="Bold"/>
        <w:rFonts w:cs="Times New Roman"/>
        <w:b/>
        <w:szCs w:val="20"/>
        <w:lang w:eastAsia="en-US"/>
      </w:rPr>
      <w:instrText xml:space="preserve"> PAGE </w:instrText>
    </w:r>
    <w:r>
      <w:rPr>
        <w:rStyle w:val="Bold"/>
        <w:rFonts w:cs="Times New Roman"/>
        <w:b/>
        <w:szCs w:val="20"/>
        <w:lang w:eastAsia="en-US"/>
      </w:rPr>
      <w:fldChar w:fldCharType="separate"/>
    </w:r>
    <w:r>
      <w:rPr>
        <w:rStyle w:val="Bold"/>
        <w:rFonts w:cs="Times New Roman"/>
        <w:b/>
        <w:noProof/>
        <w:szCs w:val="20"/>
        <w:lang w:eastAsia="en-US"/>
      </w:rPr>
      <w:t>5</w:t>
    </w:r>
    <w:r>
      <w:rPr>
        <w:rStyle w:val="Bold"/>
        <w:rFonts w:cs="Times New Roman"/>
        <w:b/>
        <w:szCs w:val="20"/>
        <w:lang w:eastAsia="en-US"/>
      </w:rPr>
      <w:fldChar w:fldCharType="end"/>
    </w:r>
    <w:r>
      <w:rPr>
        <w:rFonts w:ascii="Times New Roman" w:hAnsi="Times New Roman" w:cs="Times New Roman"/>
        <w:b w:val="0"/>
        <w:bCs w:val="0"/>
        <w:w w:val="100"/>
        <w:sz w:val="20"/>
        <w:szCs w:val="20"/>
      </w:rPr>
      <w:tab/>
    </w:r>
    <w:r>
      <w:rPr>
        <w:rStyle w:val="Bold"/>
        <w:rFonts w:cs="Times New Roman"/>
        <w:b/>
        <w:szCs w:val="20"/>
        <w:lang w:eastAsia="en-US"/>
      </w:rPr>
      <w:t>IAC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57" w:rsidRDefault="00477F57">
    <w:pPr>
      <w:pStyle w:val="CellBody-9ptCenterBold"/>
      <w:pBdr>
        <w:top w:val="single" w:sz="8" w:space="0" w:color="auto"/>
      </w:pBdr>
      <w:tabs>
        <w:tab w:val="clear" w:pos="460"/>
        <w:tab w:val="center" w:pos="4680"/>
        <w:tab w:val="right" w:pos="9360"/>
      </w:tabs>
      <w:jc w:val="left"/>
      <w:rPr>
        <w:rFonts w:ascii="Times New Roman" w:hAnsi="Times New Roman" w:cs="Times New Roman"/>
        <w:b w:val="0"/>
        <w:bCs w:val="0"/>
        <w:w w:val="100"/>
        <w:sz w:val="20"/>
        <w:szCs w:val="20"/>
      </w:rPr>
    </w:pPr>
    <w:r>
      <w:rPr>
        <w:rFonts w:ascii="Times New Roman" w:hAnsi="Times New Roman" w:cs="Times New Roman"/>
        <w:b w:val="0"/>
        <w:bCs w:val="0"/>
        <w:w w:val="100"/>
        <w:sz w:val="20"/>
        <w:szCs w:val="20"/>
      </w:rPr>
      <w:t xml:space="preserve"> </w:t>
    </w:r>
    <w:r>
      <w:rPr>
        <w:rFonts w:ascii="Times New Roman" w:hAnsi="Times New Roman" w:cs="Times New Roman"/>
        <w:b w:val="0"/>
        <w:bCs w:val="0"/>
        <w:w w:val="100"/>
        <w:sz w:val="20"/>
        <w:szCs w:val="20"/>
      </w:rPr>
      <w:tab/>
    </w:r>
    <w:r>
      <w:rPr>
        <w:rStyle w:val="Bold"/>
        <w:rFonts w:cs="Times New Roman"/>
        <w:b/>
        <w:szCs w:val="20"/>
        <w:lang w:eastAsia="en-US"/>
      </w:rPr>
      <w:t xml:space="preserve">Page </w:t>
    </w:r>
    <w:r>
      <w:rPr>
        <w:rStyle w:val="Bold"/>
        <w:rFonts w:cs="Times New Roman"/>
        <w:b/>
        <w:szCs w:val="20"/>
        <w:lang w:eastAsia="en-US"/>
      </w:rPr>
      <w:fldChar w:fldCharType="begin"/>
    </w:r>
    <w:r>
      <w:rPr>
        <w:rStyle w:val="Bold"/>
        <w:rFonts w:cs="Times New Roman"/>
        <w:b/>
        <w:szCs w:val="20"/>
        <w:lang w:eastAsia="en-US"/>
      </w:rPr>
      <w:instrText xml:space="preserve"> PAGE </w:instrText>
    </w:r>
    <w:r>
      <w:rPr>
        <w:rStyle w:val="Bold"/>
        <w:rFonts w:cs="Times New Roman"/>
        <w:b/>
        <w:szCs w:val="20"/>
        <w:lang w:eastAsia="en-US"/>
      </w:rPr>
      <w:fldChar w:fldCharType="separate"/>
    </w:r>
    <w:r>
      <w:rPr>
        <w:rStyle w:val="Bold"/>
        <w:rFonts w:cs="Times New Roman"/>
        <w:b/>
        <w:noProof/>
        <w:szCs w:val="20"/>
        <w:lang w:eastAsia="en-US"/>
      </w:rPr>
      <w:t>1</w:t>
    </w:r>
    <w:r>
      <w:rPr>
        <w:rStyle w:val="Bold"/>
        <w:rFonts w:cs="Times New Roman"/>
        <w:b/>
        <w:szCs w:val="20"/>
        <w:lang w:eastAsia="en-US"/>
      </w:rPr>
      <w:fldChar w:fldCharType="end"/>
    </w:r>
    <w:r>
      <w:rPr>
        <w:rFonts w:ascii="Times New Roman" w:hAnsi="Times New Roman" w:cs="Times New Roman"/>
        <w:b w:val="0"/>
        <w:bCs w:val="0"/>
        <w:w w:val="100"/>
        <w:sz w:val="20"/>
        <w:szCs w:val="20"/>
      </w:rPr>
      <w:tab/>
    </w:r>
    <w:r>
      <w:rPr>
        <w:rStyle w:val="Bold"/>
        <w:rFonts w:cs="Times New Roman"/>
        <w:b/>
        <w:szCs w:val="20"/>
        <w:lang w:eastAsia="en-US"/>
      </w:rPr>
      <w:t>IAC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F57" w:rsidRDefault="00477F57">
      <w:pPr>
        <w:spacing w:after="0" w:line="240" w:lineRule="auto"/>
      </w:pPr>
      <w:r>
        <w:separator/>
      </w:r>
    </w:p>
  </w:footnote>
  <w:footnote w:type="continuationSeparator" w:id="0">
    <w:p w:rsidR="00477F57" w:rsidRDefault="0047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57" w:rsidRDefault="00477F57">
    <w:pPr>
      <w:widowControl w:val="0"/>
      <w:autoSpaceDE w:val="0"/>
      <w:autoSpaceDN w:val="0"/>
      <w:adjustRightInd w:val="0"/>
      <w:spacing w:after="0" w:line="240" w:lineRule="auto"/>
      <w:rPr>
        <w:rFonts w:ascii="Goudy" w:hAnsi="Goudy"/>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57" w:rsidRDefault="00477F57">
    <w:pPr>
      <w:pStyle w:val="CellBody-9ptCenterBold"/>
      <w:widowControl/>
      <w:tabs>
        <w:tab w:val="clear" w:pos="460"/>
        <w:tab w:val="right" w:pos="1440"/>
      </w:tabs>
      <w:spacing w:before="100" w:after="180" w:line="260" w:lineRule="atLeast"/>
      <w:jc w:val="left"/>
      <w:rPr>
        <w:rFonts w:ascii="Times New Roman" w:hAnsi="Times New Roman" w:cs="Times New Roman"/>
        <w:b w:val="0"/>
        <w:bCs w:val="0"/>
        <w:w w:val="10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1A8"/>
    <w:rsid w:val="001C6551"/>
    <w:rsid w:val="00477F57"/>
    <w:rsid w:val="005E4B22"/>
    <w:rsid w:val="006557C2"/>
    <w:rsid w:val="007635B2"/>
    <w:rsid w:val="007B771F"/>
    <w:rsid w:val="00A901A8"/>
    <w:rsid w:val="00B65ECD"/>
    <w:rsid w:val="00BE3F58"/>
    <w:rsid w:val="00D6071E"/>
    <w:rsid w:val="00E74D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9ptCenterBold">
    <w:name w:val="CellBody-9pt_Center_Bold"/>
    <w:uiPriority w:val="99"/>
    <w:rsid w:val="006557C2"/>
    <w:pPr>
      <w:widowControl w:val="0"/>
      <w:tabs>
        <w:tab w:val="left" w:pos="460"/>
      </w:tabs>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Body">
    <w:name w:val="Body"/>
    <w:uiPriority w:val="99"/>
    <w:rsid w:val="006557C2"/>
    <w:pPr>
      <w:widowControl w:val="0"/>
      <w:tabs>
        <w:tab w:val="left" w:pos="720"/>
        <w:tab w:val="left" w:pos="1440"/>
        <w:tab w:val="right" w:pos="9360"/>
      </w:tabs>
      <w:suppressAutoHyphens/>
      <w:autoSpaceDE w:val="0"/>
      <w:autoSpaceDN w:val="0"/>
      <w:adjustRightInd w:val="0"/>
      <w:spacing w:line="200" w:lineRule="atLeast"/>
      <w:jc w:val="both"/>
    </w:pPr>
    <w:rPr>
      <w:rFonts w:ascii="Times New Roman" w:hAnsi="Times New Roman"/>
      <w:color w:val="000000"/>
      <w:w w:val="0"/>
      <w:sz w:val="20"/>
      <w:szCs w:val="20"/>
    </w:rPr>
  </w:style>
  <w:style w:type="paragraph" w:customStyle="1" w:styleId="CellBody-9ptIndenta">
    <w:name w:val="CellBody-9pt_Indent_a"/>
    <w:uiPriority w:val="99"/>
    <w:rsid w:val="006557C2"/>
    <w:pPr>
      <w:widowControl w:val="0"/>
      <w:tabs>
        <w:tab w:val="left" w:pos="100"/>
        <w:tab w:val="left" w:pos="460"/>
      </w:tabs>
      <w:suppressAutoHyphens/>
      <w:autoSpaceDE w:val="0"/>
      <w:autoSpaceDN w:val="0"/>
      <w:adjustRightInd w:val="0"/>
      <w:spacing w:line="220" w:lineRule="atLeast"/>
      <w:ind w:left="120" w:hanging="120"/>
    </w:pPr>
    <w:rPr>
      <w:rFonts w:ascii="Arial" w:hAnsi="Arial" w:cs="Arial"/>
      <w:color w:val="000000"/>
      <w:w w:val="0"/>
      <w:sz w:val="18"/>
      <w:szCs w:val="18"/>
    </w:rPr>
  </w:style>
  <w:style w:type="paragraph" w:customStyle="1" w:styleId="CellBody-9ptIndenta0">
    <w:name w:val="CellBody-9pt_Indent_a+"/>
    <w:uiPriority w:val="99"/>
    <w:rsid w:val="006557C2"/>
    <w:pPr>
      <w:widowControl w:val="0"/>
      <w:tabs>
        <w:tab w:val="left" w:pos="100"/>
        <w:tab w:val="left" w:pos="460"/>
      </w:tabs>
      <w:suppressAutoHyphens/>
      <w:autoSpaceDE w:val="0"/>
      <w:autoSpaceDN w:val="0"/>
      <w:adjustRightInd w:val="0"/>
      <w:spacing w:line="220" w:lineRule="atLeast"/>
      <w:ind w:left="120" w:hanging="120"/>
    </w:pPr>
    <w:rPr>
      <w:rFonts w:ascii="Arial" w:hAnsi="Arial" w:cs="Arial"/>
      <w:color w:val="000000"/>
      <w:w w:val="0"/>
      <w:sz w:val="18"/>
      <w:szCs w:val="18"/>
    </w:rPr>
  </w:style>
  <w:style w:type="paragraph" w:customStyle="1" w:styleId="CenterTOC">
    <w:name w:val="CenterTOC"/>
    <w:next w:val="Center"/>
    <w:uiPriority w:val="99"/>
    <w:rsid w:val="006557C2"/>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paragraph" w:customStyle="1" w:styleId="BodyCenterTOC">
    <w:name w:val="Body_CenterTOC"/>
    <w:uiPriority w:val="99"/>
    <w:rsid w:val="006557C2"/>
    <w:pPr>
      <w:widowControl w:val="0"/>
      <w:tabs>
        <w:tab w:val="left" w:pos="720"/>
        <w:tab w:val="left" w:pos="1440"/>
        <w:tab w:val="right" w:pos="9360"/>
      </w:tabs>
      <w:suppressAutoHyphens/>
      <w:autoSpaceDE w:val="0"/>
      <w:autoSpaceDN w:val="0"/>
      <w:adjustRightInd w:val="0"/>
      <w:spacing w:line="200" w:lineRule="atLeast"/>
      <w:jc w:val="center"/>
    </w:pPr>
    <w:rPr>
      <w:rFonts w:ascii="Times New Roman" w:hAnsi="Times New Roman"/>
      <w:b/>
      <w:bCs/>
      <w:color w:val="000000"/>
      <w:w w:val="0"/>
      <w:sz w:val="20"/>
      <w:szCs w:val="20"/>
    </w:rPr>
  </w:style>
  <w:style w:type="paragraph" w:customStyle="1" w:styleId="SectionNameTOCCenter">
    <w:name w:val="Section Name TOC_Center"/>
    <w:next w:val="Body"/>
    <w:uiPriority w:val="99"/>
    <w:rsid w:val="006557C2"/>
    <w:pPr>
      <w:tabs>
        <w:tab w:val="left" w:pos="720"/>
        <w:tab w:val="left" w:pos="1440"/>
        <w:tab w:val="right" w:pos="7200"/>
        <w:tab w:val="left" w:pos="8460"/>
      </w:tabs>
      <w:suppressAutoHyphens/>
      <w:autoSpaceDE w:val="0"/>
      <w:autoSpaceDN w:val="0"/>
      <w:adjustRightInd w:val="0"/>
      <w:spacing w:line="200" w:lineRule="atLeast"/>
      <w:jc w:val="center"/>
    </w:pPr>
    <w:rPr>
      <w:rFonts w:ascii="Times New Roman" w:hAnsi="Times New Roman"/>
      <w:b/>
      <w:bCs/>
      <w:caps/>
      <w:color w:val="000000"/>
      <w:w w:val="0"/>
      <w:sz w:val="20"/>
      <w:szCs w:val="20"/>
    </w:rPr>
  </w:style>
  <w:style w:type="paragraph" w:customStyle="1" w:styleId="BodyCenter">
    <w:name w:val="Body_Center"/>
    <w:uiPriority w:val="99"/>
    <w:rsid w:val="006557C2"/>
    <w:pPr>
      <w:keepNext/>
      <w:tabs>
        <w:tab w:val="left" w:pos="720"/>
      </w:tabs>
      <w:suppressAutoHyphens/>
      <w:autoSpaceDE w:val="0"/>
      <w:autoSpaceDN w:val="0"/>
      <w:adjustRightInd w:val="0"/>
      <w:spacing w:before="40" w:line="200" w:lineRule="atLeast"/>
      <w:jc w:val="center"/>
    </w:pPr>
    <w:rPr>
      <w:rFonts w:ascii="Times New Roman" w:hAnsi="Times New Roman"/>
      <w:b/>
      <w:bCs/>
      <w:color w:val="000000"/>
      <w:w w:val="0"/>
      <w:sz w:val="20"/>
      <w:szCs w:val="20"/>
    </w:rPr>
  </w:style>
  <w:style w:type="paragraph" w:customStyle="1" w:styleId="CellHeading-9ptRight">
    <w:name w:val="CellHeading-9pt_Right"/>
    <w:uiPriority w:val="99"/>
    <w:rsid w:val="006557C2"/>
    <w:pPr>
      <w:widowControl w:val="0"/>
      <w:suppressAutoHyphens/>
      <w:autoSpaceDE w:val="0"/>
      <w:autoSpaceDN w:val="0"/>
      <w:adjustRightInd w:val="0"/>
      <w:spacing w:line="220" w:lineRule="atLeast"/>
      <w:jc w:val="right"/>
    </w:pPr>
    <w:rPr>
      <w:rFonts w:ascii="Arial" w:hAnsi="Arial" w:cs="Arial"/>
      <w:b/>
      <w:bCs/>
      <w:color w:val="000000"/>
      <w:w w:val="0"/>
      <w:sz w:val="18"/>
      <w:szCs w:val="18"/>
    </w:rPr>
  </w:style>
  <w:style w:type="paragraph" w:customStyle="1" w:styleId="SectionNameTOC">
    <w:name w:val="Section Name TOC"/>
    <w:uiPriority w:val="99"/>
    <w:rsid w:val="006557C2"/>
    <w:pPr>
      <w:tabs>
        <w:tab w:val="left" w:pos="720"/>
        <w:tab w:val="left" w:pos="1440"/>
        <w:tab w:val="right" w:pos="7200"/>
        <w:tab w:val="left" w:pos="8460"/>
      </w:tabs>
      <w:suppressAutoHyphens/>
      <w:autoSpaceDE w:val="0"/>
      <w:autoSpaceDN w:val="0"/>
      <w:adjustRightInd w:val="0"/>
      <w:spacing w:line="200" w:lineRule="atLeast"/>
      <w:jc w:val="both"/>
    </w:pPr>
    <w:rPr>
      <w:rFonts w:ascii="Times New Roman" w:hAnsi="Times New Roman"/>
      <w:b/>
      <w:bCs/>
      <w:caps/>
      <w:color w:val="000000"/>
      <w:w w:val="0"/>
      <w:sz w:val="20"/>
      <w:szCs w:val="20"/>
    </w:rPr>
  </w:style>
  <w:style w:type="paragraph" w:customStyle="1" w:styleId="SectionNameTOC2">
    <w:name w:val="Section Name TOC2"/>
    <w:uiPriority w:val="99"/>
    <w:rsid w:val="006557C2"/>
    <w:pPr>
      <w:tabs>
        <w:tab w:val="left" w:pos="720"/>
        <w:tab w:val="left" w:pos="1440"/>
        <w:tab w:val="right" w:pos="7200"/>
        <w:tab w:val="left" w:pos="8460"/>
      </w:tabs>
      <w:suppressAutoHyphens/>
      <w:autoSpaceDE w:val="0"/>
      <w:autoSpaceDN w:val="0"/>
      <w:adjustRightInd w:val="0"/>
      <w:spacing w:line="200" w:lineRule="atLeast"/>
      <w:jc w:val="both"/>
    </w:pPr>
    <w:rPr>
      <w:rFonts w:ascii="Times New Roman" w:hAnsi="Times New Roman"/>
      <w:b/>
      <w:bCs/>
      <w:caps/>
      <w:color w:val="000000"/>
      <w:w w:val="0"/>
      <w:sz w:val="20"/>
      <w:szCs w:val="20"/>
    </w:rPr>
  </w:style>
  <w:style w:type="paragraph" w:customStyle="1" w:styleId="CellBody">
    <w:name w:val="CellBody"/>
    <w:uiPriority w:val="99"/>
    <w:rsid w:val="006557C2"/>
    <w:pPr>
      <w:widowControl w:val="0"/>
      <w:tabs>
        <w:tab w:val="left" w:pos="460"/>
      </w:tabs>
      <w:autoSpaceDE w:val="0"/>
      <w:autoSpaceDN w:val="0"/>
      <w:adjustRightInd w:val="0"/>
      <w:spacing w:line="220" w:lineRule="atLeast"/>
      <w:ind w:left="640" w:hanging="640"/>
    </w:pPr>
    <w:rPr>
      <w:rFonts w:ascii="Times New Roman" w:hAnsi="Times New Roman"/>
      <w:color w:val="000000"/>
      <w:w w:val="0"/>
      <w:sz w:val="18"/>
      <w:szCs w:val="18"/>
    </w:rPr>
  </w:style>
  <w:style w:type="paragraph" w:customStyle="1" w:styleId="Body01">
    <w:name w:val="Body01"/>
    <w:uiPriority w:val="99"/>
    <w:rsid w:val="006557C2"/>
    <w:pPr>
      <w:widowControl w:val="0"/>
      <w:tabs>
        <w:tab w:val="left" w:pos="360"/>
        <w:tab w:val="left" w:pos="900"/>
        <w:tab w:val="right" w:pos="9360"/>
      </w:tabs>
      <w:suppressAutoHyphens/>
      <w:autoSpaceDE w:val="0"/>
      <w:autoSpaceDN w:val="0"/>
      <w:adjustRightInd w:val="0"/>
      <w:spacing w:line="200" w:lineRule="atLeast"/>
      <w:ind w:left="900" w:hanging="900"/>
      <w:jc w:val="both"/>
    </w:pPr>
    <w:rPr>
      <w:rFonts w:ascii="Times New Roman" w:hAnsi="Times New Roman"/>
      <w:color w:val="000000"/>
      <w:w w:val="0"/>
      <w:sz w:val="20"/>
      <w:szCs w:val="20"/>
    </w:rPr>
  </w:style>
  <w:style w:type="paragraph" w:customStyle="1" w:styleId="IDAPATOC">
    <w:name w:val="IDAPA TOC"/>
    <w:next w:val="Center"/>
    <w:uiPriority w:val="99"/>
    <w:rsid w:val="006557C2"/>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llHeading-9pt-Left">
    <w:name w:val="CellHeading-9pt-Left"/>
    <w:uiPriority w:val="99"/>
    <w:rsid w:val="006557C2"/>
    <w:pPr>
      <w:widowControl w:val="0"/>
      <w:suppressAutoHyphens/>
      <w:autoSpaceDE w:val="0"/>
      <w:autoSpaceDN w:val="0"/>
      <w:adjustRightInd w:val="0"/>
      <w:spacing w:line="220" w:lineRule="atLeast"/>
    </w:pPr>
    <w:rPr>
      <w:rFonts w:ascii="Arial" w:hAnsi="Arial" w:cs="Arial"/>
      <w:b/>
      <w:bCs/>
      <w:color w:val="000000"/>
      <w:w w:val="0"/>
      <w:sz w:val="18"/>
      <w:szCs w:val="18"/>
    </w:rPr>
  </w:style>
  <w:style w:type="paragraph" w:customStyle="1" w:styleId="CellBody-9ptNolines">
    <w:name w:val="CellBody-9pt_No_lines"/>
    <w:uiPriority w:val="99"/>
    <w:rsid w:val="006557C2"/>
    <w:pPr>
      <w:widowControl w:val="0"/>
      <w:tabs>
        <w:tab w:val="left" w:pos="460"/>
      </w:tabs>
      <w:suppressAutoHyphens/>
      <w:autoSpaceDE w:val="0"/>
      <w:autoSpaceDN w:val="0"/>
      <w:adjustRightInd w:val="0"/>
      <w:spacing w:line="240" w:lineRule="atLeast"/>
    </w:pPr>
    <w:rPr>
      <w:rFonts w:ascii="Times New Roman" w:hAnsi="Times New Roman"/>
      <w:color w:val="000000"/>
      <w:w w:val="0"/>
      <w:sz w:val="20"/>
      <w:szCs w:val="20"/>
    </w:rPr>
  </w:style>
  <w:style w:type="paragraph" w:customStyle="1" w:styleId="SiFiSecNam">
    <w:name w:val="SiFiSecNam"/>
    <w:uiPriority w:val="99"/>
    <w:rsid w:val="006557C2"/>
    <w:pPr>
      <w:tabs>
        <w:tab w:val="left" w:pos="720"/>
        <w:tab w:val="left" w:pos="1440"/>
        <w:tab w:val="right" w:pos="7200"/>
        <w:tab w:val="left" w:pos="8460"/>
      </w:tabs>
      <w:suppressAutoHyphens/>
      <w:autoSpaceDE w:val="0"/>
      <w:autoSpaceDN w:val="0"/>
      <w:adjustRightInd w:val="0"/>
      <w:spacing w:line="200" w:lineRule="atLeast"/>
      <w:jc w:val="both"/>
    </w:pPr>
    <w:rPr>
      <w:rFonts w:ascii="Times New Roman" w:hAnsi="Times New Roman"/>
      <w:b/>
      <w:bCs/>
      <w:caps/>
      <w:color w:val="000000"/>
      <w:w w:val="0"/>
      <w:sz w:val="20"/>
      <w:szCs w:val="20"/>
    </w:rPr>
  </w:style>
  <w:style w:type="paragraph" w:customStyle="1" w:styleId="Center">
    <w:name w:val="Center"/>
    <w:uiPriority w:val="99"/>
    <w:rsid w:val="006557C2"/>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rsid w:val="006557C2"/>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CellBody-9pt">
    <w:name w:val="CellBody-9pt"/>
    <w:uiPriority w:val="99"/>
    <w:rsid w:val="006557C2"/>
    <w:pPr>
      <w:widowControl w:val="0"/>
      <w:tabs>
        <w:tab w:val="left" w:pos="460"/>
      </w:tabs>
      <w:autoSpaceDE w:val="0"/>
      <w:autoSpaceDN w:val="0"/>
      <w:adjustRightInd w:val="0"/>
      <w:spacing w:line="220" w:lineRule="atLeast"/>
    </w:pPr>
    <w:rPr>
      <w:rFonts w:ascii="Arial" w:hAnsi="Arial" w:cs="Arial"/>
      <w:color w:val="000000"/>
      <w:w w:val="0"/>
      <w:sz w:val="18"/>
      <w:szCs w:val="18"/>
    </w:rPr>
  </w:style>
  <w:style w:type="paragraph" w:customStyle="1" w:styleId="CellBody-9ptLeft">
    <w:name w:val="CellBody-9pt_Left"/>
    <w:uiPriority w:val="99"/>
    <w:rsid w:val="006557C2"/>
    <w:pPr>
      <w:widowControl w:val="0"/>
      <w:tabs>
        <w:tab w:val="left" w:pos="460"/>
      </w:tabs>
      <w:autoSpaceDE w:val="0"/>
      <w:autoSpaceDN w:val="0"/>
      <w:adjustRightInd w:val="0"/>
      <w:spacing w:line="220" w:lineRule="atLeast"/>
    </w:pPr>
    <w:rPr>
      <w:rFonts w:ascii="Arial" w:hAnsi="Arial" w:cs="Arial"/>
      <w:color w:val="000000"/>
      <w:w w:val="0"/>
      <w:sz w:val="18"/>
      <w:szCs w:val="18"/>
    </w:rPr>
  </w:style>
  <w:style w:type="paragraph" w:customStyle="1" w:styleId="CellBody-9ptRight">
    <w:name w:val="CellBody-9pt_Right"/>
    <w:uiPriority w:val="99"/>
    <w:rsid w:val="006557C2"/>
    <w:pPr>
      <w:widowControl w:val="0"/>
      <w:tabs>
        <w:tab w:val="left" w:pos="460"/>
      </w:tabs>
      <w:autoSpaceDE w:val="0"/>
      <w:autoSpaceDN w:val="0"/>
      <w:adjustRightInd w:val="0"/>
      <w:spacing w:line="220" w:lineRule="atLeast"/>
      <w:jc w:val="right"/>
    </w:pPr>
    <w:rPr>
      <w:rFonts w:ascii="Arial" w:hAnsi="Arial" w:cs="Arial"/>
      <w:color w:val="000000"/>
      <w:w w:val="0"/>
      <w:sz w:val="18"/>
      <w:szCs w:val="18"/>
    </w:rPr>
  </w:style>
  <w:style w:type="paragraph" w:customStyle="1" w:styleId="CellHeading">
    <w:name w:val="CellHeading"/>
    <w:uiPriority w:val="99"/>
    <w:rsid w:val="006557C2"/>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Indented">
    <w:name w:val="Indented"/>
    <w:uiPriority w:val="99"/>
    <w:rsid w:val="006557C2"/>
    <w:pPr>
      <w:tabs>
        <w:tab w:val="left" w:pos="360"/>
      </w:tabs>
      <w:autoSpaceDE w:val="0"/>
      <w:autoSpaceDN w:val="0"/>
      <w:adjustRightInd w:val="0"/>
      <w:spacing w:line="280" w:lineRule="atLeast"/>
      <w:ind w:left="360"/>
    </w:pPr>
    <w:rPr>
      <w:rFonts w:ascii="Times New Roman" w:hAnsi="Times New Roman"/>
      <w:color w:val="000000"/>
      <w:w w:val="0"/>
      <w:sz w:val="24"/>
      <w:szCs w:val="24"/>
    </w:rPr>
  </w:style>
  <w:style w:type="paragraph" w:customStyle="1" w:styleId="TitleTOC">
    <w:name w:val="Title TOC"/>
    <w:uiPriority w:val="99"/>
    <w:rsid w:val="006557C2"/>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rsid w:val="006557C2"/>
    <w:pPr>
      <w:widowControl w:val="0"/>
      <w:tabs>
        <w:tab w:val="left" w:pos="460"/>
      </w:tabs>
      <w:autoSpaceDE w:val="0"/>
      <w:autoSpaceDN w:val="0"/>
      <w:adjustRightInd w:val="0"/>
      <w:spacing w:line="220" w:lineRule="atLeast"/>
      <w:jc w:val="center"/>
    </w:pPr>
    <w:rPr>
      <w:rFonts w:ascii="Arial" w:hAnsi="Arial" w:cs="Arial"/>
      <w:color w:val="000000"/>
      <w:w w:val="0"/>
      <w:sz w:val="18"/>
      <w:szCs w:val="18"/>
    </w:rPr>
  </w:style>
  <w:style w:type="paragraph" w:customStyle="1" w:styleId="Bodyi">
    <w:name w:val="Bodyi"/>
    <w:uiPriority w:val="99"/>
    <w:rsid w:val="006557C2"/>
    <w:pPr>
      <w:widowControl w:val="0"/>
      <w:tabs>
        <w:tab w:val="left" w:pos="1260"/>
        <w:tab w:val="left" w:pos="1620"/>
        <w:tab w:val="right" w:pos="9360"/>
      </w:tabs>
      <w:suppressAutoHyphens/>
      <w:autoSpaceDE w:val="0"/>
      <w:autoSpaceDN w:val="0"/>
      <w:adjustRightInd w:val="0"/>
      <w:spacing w:line="200" w:lineRule="atLeast"/>
      <w:ind w:left="1620" w:hanging="1620"/>
      <w:jc w:val="both"/>
    </w:pPr>
    <w:rPr>
      <w:rFonts w:ascii="Times New Roman" w:hAnsi="Times New Roman"/>
      <w:color w:val="000000"/>
      <w:w w:val="0"/>
      <w:sz w:val="20"/>
      <w:szCs w:val="20"/>
    </w:rPr>
  </w:style>
  <w:style w:type="paragraph" w:customStyle="1" w:styleId="Bodya">
    <w:name w:val="Bodya"/>
    <w:uiPriority w:val="99"/>
    <w:rsid w:val="006557C2"/>
    <w:pPr>
      <w:widowControl w:val="0"/>
      <w:tabs>
        <w:tab w:val="left" w:pos="900"/>
        <w:tab w:val="left" w:pos="1260"/>
        <w:tab w:val="right" w:pos="9360"/>
      </w:tabs>
      <w:suppressAutoHyphens/>
      <w:autoSpaceDE w:val="0"/>
      <w:autoSpaceDN w:val="0"/>
      <w:adjustRightInd w:val="0"/>
      <w:spacing w:line="200" w:lineRule="atLeast"/>
      <w:ind w:left="1260" w:hanging="1260"/>
      <w:jc w:val="both"/>
    </w:pPr>
    <w:rPr>
      <w:rFonts w:ascii="Times New Roman" w:hAnsi="Times New Roman"/>
      <w:color w:val="000000"/>
      <w:w w:val="0"/>
      <w:sz w:val="20"/>
      <w:szCs w:val="20"/>
    </w:rPr>
  </w:style>
  <w:style w:type="paragraph" w:customStyle="1" w:styleId="CellBody-10pt">
    <w:name w:val="CellBody-10pt"/>
    <w:uiPriority w:val="99"/>
    <w:rsid w:val="006557C2"/>
    <w:pPr>
      <w:widowControl w:val="0"/>
      <w:tabs>
        <w:tab w:val="left" w:pos="460"/>
      </w:tabs>
      <w:autoSpaceDE w:val="0"/>
      <w:autoSpaceDN w:val="0"/>
      <w:adjustRightInd w:val="0"/>
      <w:spacing w:line="220" w:lineRule="atLeast"/>
      <w:ind w:left="640" w:hanging="640"/>
    </w:pPr>
    <w:rPr>
      <w:rFonts w:ascii="Arial" w:hAnsi="Arial" w:cs="Arial"/>
      <w:color w:val="000000"/>
      <w:w w:val="0"/>
      <w:sz w:val="18"/>
      <w:szCs w:val="18"/>
    </w:rPr>
  </w:style>
  <w:style w:type="paragraph" w:customStyle="1" w:styleId="CellHeading-10pt">
    <w:name w:val="CellHeading-10pt"/>
    <w:uiPriority w:val="99"/>
    <w:rsid w:val="006557C2"/>
    <w:pPr>
      <w:widowControl w:val="0"/>
      <w:suppressAutoHyphens/>
      <w:autoSpaceDE w:val="0"/>
      <w:autoSpaceDN w:val="0"/>
      <w:adjustRightInd w:val="0"/>
      <w:spacing w:line="240" w:lineRule="atLeast"/>
      <w:jc w:val="center"/>
    </w:pPr>
    <w:rPr>
      <w:rFonts w:ascii="Arial" w:hAnsi="Arial" w:cs="Arial"/>
      <w:b/>
      <w:bCs/>
      <w:color w:val="000000"/>
      <w:w w:val="0"/>
      <w:sz w:val="20"/>
      <w:szCs w:val="20"/>
    </w:rPr>
  </w:style>
  <w:style w:type="paragraph" w:customStyle="1" w:styleId="CellBody-9ptIndent">
    <w:name w:val="CellBody-9pt_Indent"/>
    <w:uiPriority w:val="99"/>
    <w:rsid w:val="006557C2"/>
    <w:pPr>
      <w:widowControl w:val="0"/>
      <w:tabs>
        <w:tab w:val="left" w:pos="460"/>
      </w:tabs>
      <w:suppressAutoHyphens/>
      <w:autoSpaceDE w:val="0"/>
      <w:autoSpaceDN w:val="0"/>
      <w:adjustRightInd w:val="0"/>
      <w:spacing w:line="220" w:lineRule="atLeast"/>
      <w:ind w:left="120" w:hanging="120"/>
    </w:pPr>
    <w:rPr>
      <w:rFonts w:ascii="Arial" w:hAnsi="Arial" w:cs="Arial"/>
      <w:color w:val="000000"/>
      <w:w w:val="0"/>
      <w:sz w:val="18"/>
      <w:szCs w:val="18"/>
    </w:rPr>
  </w:style>
  <w:style w:type="character" w:customStyle="1" w:styleId="SiFiNamesTable">
    <w:name w:val="SiFiNames_Table"/>
    <w:uiPriority w:val="99"/>
    <w:rsid w:val="006557C2"/>
    <w:rPr>
      <w:rFonts w:ascii="Arial" w:hAnsi="Arial"/>
      <w:i/>
      <w:color w:val="000000"/>
      <w:spacing w:val="0"/>
      <w:w w:val="100"/>
      <w:sz w:val="18"/>
      <w:u w:val="none"/>
      <w:vertAlign w:val="baseline"/>
      <w:lang w:val="en-US"/>
    </w:rPr>
  </w:style>
  <w:style w:type="character" w:customStyle="1" w:styleId="Bold">
    <w:name w:val="Bold"/>
    <w:uiPriority w:val="99"/>
    <w:rsid w:val="006557C2"/>
    <w:rPr>
      <w:rFonts w:ascii="Times New Roman" w:hAnsi="Times New Roman"/>
      <w:b/>
      <w:color w:val="000000"/>
      <w:spacing w:val="0"/>
      <w:w w:val="100"/>
      <w:sz w:val="20"/>
      <w:u w:val="none"/>
      <w:vertAlign w:val="baseline"/>
      <w:lang w:val="en-US"/>
    </w:rPr>
  </w:style>
  <w:style w:type="character" w:customStyle="1" w:styleId="BoldItalics">
    <w:name w:val="Bold_Italics"/>
    <w:uiPriority w:val="99"/>
    <w:rsid w:val="006557C2"/>
    <w:rPr>
      <w:rFonts w:ascii="Times New Roman" w:hAnsi="Times New Roman"/>
      <w:b/>
      <w:i/>
      <w:color w:val="000000"/>
      <w:spacing w:val="0"/>
      <w:w w:val="100"/>
      <w:sz w:val="20"/>
      <w:u w:val="none"/>
      <w:vertAlign w:val="baseline"/>
      <w:lang w:val="en-US"/>
    </w:rPr>
  </w:style>
  <w:style w:type="character" w:customStyle="1" w:styleId="BodyBold">
    <w:name w:val="Body_Bold"/>
    <w:uiPriority w:val="99"/>
    <w:rsid w:val="006557C2"/>
    <w:rPr>
      <w:rFonts w:ascii="Times New Roman" w:hAnsi="Times New Roman"/>
      <w:b/>
      <w:color w:val="000000"/>
      <w:spacing w:val="0"/>
      <w:w w:val="100"/>
      <w:sz w:val="20"/>
      <w:u w:val="none"/>
      <w:vertAlign w:val="baseline"/>
      <w:lang w:val="en-US"/>
    </w:rPr>
  </w:style>
  <w:style w:type="character" w:customStyle="1" w:styleId="TableBold">
    <w:name w:val="Table_Bold"/>
    <w:uiPriority w:val="99"/>
    <w:rsid w:val="006557C2"/>
    <w:rPr>
      <w:rFonts w:ascii="Arial" w:hAnsi="Arial"/>
      <w:b/>
      <w:color w:val="000000"/>
      <w:spacing w:val="0"/>
      <w:w w:val="100"/>
      <w:sz w:val="18"/>
      <w:u w:val="none"/>
      <w:vertAlign w:val="baseline"/>
      <w:lang w:val="en-US"/>
    </w:rPr>
  </w:style>
  <w:style w:type="character" w:customStyle="1" w:styleId="SiFiBold">
    <w:name w:val="SiFi_Bold"/>
    <w:uiPriority w:val="99"/>
    <w:rsid w:val="006557C2"/>
    <w:rPr>
      <w:rFonts w:ascii="Times New Roman" w:hAnsi="Times New Roman"/>
      <w:b/>
      <w:i/>
      <w:color w:val="000000"/>
      <w:spacing w:val="0"/>
      <w:w w:val="100"/>
      <w:sz w:val="20"/>
      <w:u w:val="none"/>
      <w:vertAlign w:val="baseline"/>
      <w:lang w:val="en-US"/>
    </w:rPr>
  </w:style>
  <w:style w:type="character" w:customStyle="1" w:styleId="CellBodyBold">
    <w:name w:val="CellBody_Bold"/>
    <w:uiPriority w:val="99"/>
    <w:rsid w:val="006557C2"/>
    <w:rPr>
      <w:rFonts w:ascii="Arial" w:hAnsi="Arial"/>
      <w:b/>
      <w:color w:val="000000"/>
      <w:spacing w:val="0"/>
      <w:w w:val="100"/>
      <w:sz w:val="18"/>
      <w:u w:val="none"/>
      <w:vertAlign w:val="baseline"/>
      <w:lang w:val="en-US"/>
    </w:rPr>
  </w:style>
  <w:style w:type="character" w:customStyle="1" w:styleId="Subscript">
    <w:name w:val="Subscript"/>
    <w:uiPriority w:val="99"/>
    <w:rsid w:val="006557C2"/>
    <w:rPr>
      <w:vertAlign w:val="subscript"/>
    </w:rPr>
  </w:style>
  <w:style w:type="character" w:customStyle="1" w:styleId="Superscript">
    <w:name w:val="Superscript"/>
    <w:uiPriority w:val="99"/>
    <w:rsid w:val="006557C2"/>
    <w:rPr>
      <w:vertAlign w:val="superscript"/>
    </w:rPr>
  </w:style>
  <w:style w:type="character" w:customStyle="1" w:styleId="EquationVariables">
    <w:name w:val="EquationVariables"/>
    <w:uiPriority w:val="99"/>
    <w:rsid w:val="006557C2"/>
    <w:rPr>
      <w:i/>
    </w:rPr>
  </w:style>
  <w:style w:type="character" w:customStyle="1" w:styleId="Italics">
    <w:name w:val="Italics"/>
    <w:uiPriority w:val="99"/>
    <w:rsid w:val="006557C2"/>
    <w:rPr>
      <w:i/>
      <w:vertAlign w:val="baseline"/>
    </w:rPr>
  </w:style>
  <w:style w:type="character" w:customStyle="1" w:styleId="SectionNameSiFi">
    <w:name w:val="SectionNameSiFi"/>
    <w:uiPriority w:val="99"/>
    <w:rsid w:val="006557C2"/>
    <w:rPr>
      <w:rFonts w:ascii="Times New Roman" w:hAnsi="Times New Roman"/>
      <w:b/>
      <w:i/>
      <w:caps/>
      <w:color w:val="000000"/>
      <w:spacing w:val="0"/>
      <w:w w:val="100"/>
      <w:sz w:val="20"/>
      <w:u w:val="none"/>
      <w:vertAlign w:val="baseline"/>
      <w:lang w:val="en-US"/>
    </w:rPr>
  </w:style>
  <w:style w:type="character" w:customStyle="1" w:styleId="SiFiNames">
    <w:name w:val="SiFiNames"/>
    <w:uiPriority w:val="99"/>
    <w:rsid w:val="006557C2"/>
    <w:rPr>
      <w:rFonts w:ascii="Times New Roman" w:hAnsi="Times New Roman"/>
      <w:i/>
      <w:color w:val="000000"/>
      <w:spacing w:val="0"/>
      <w:w w:val="100"/>
      <w:sz w:val="20"/>
      <w:u w:val="none"/>
      <w:vertAlign w:val="baseline"/>
      <w:lang w:val="en-US"/>
    </w:rPr>
  </w:style>
  <w:style w:type="character" w:customStyle="1" w:styleId="SiFiNames0">
    <w:name w:val="SiFi_Names"/>
    <w:uiPriority w:val="99"/>
    <w:rsid w:val="006557C2"/>
    <w:rPr>
      <w:rFonts w:ascii="Times New Roman" w:hAnsi="Times New Roman"/>
      <w:i/>
      <w:color w:val="000000"/>
      <w:spacing w:val="0"/>
      <w:w w:val="100"/>
      <w:sz w:val="20"/>
      <w:u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2906</Words>
  <Characters>16570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Stevenson</dc:creator>
  <cp:keywords/>
  <dc:description/>
  <cp:lastModifiedBy>Dave Curtis</cp:lastModifiedBy>
  <cp:revision>6</cp:revision>
  <dcterms:created xsi:type="dcterms:W3CDTF">2010-04-08T22:05:00Z</dcterms:created>
  <dcterms:modified xsi:type="dcterms:W3CDTF">2010-04-09T14:25:00Z</dcterms:modified>
</cp:coreProperties>
</file>