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C264E">
      <w:pPr>
        <w:pStyle w:val="Center"/>
        <w:rPr>
          <w:w w:val="100"/>
        </w:rPr>
      </w:pPr>
      <w:r>
        <w:rPr>
          <w:w w:val="100"/>
        </w:rPr>
        <w:t>IDAPA 10</w:t>
      </w:r>
      <w:r>
        <w:rPr>
          <w:w w:val="100"/>
        </w:rPr>
        <w:br/>
        <w:t>TITLE 01</w:t>
      </w:r>
      <w:r>
        <w:rPr>
          <w:w w:val="100"/>
        </w:rPr>
        <w:br/>
        <w:t>CHAPTER 04</w:t>
      </w:r>
    </w:p>
    <w:p w:rsidR="00000000" w:rsidRDefault="00EC264E">
      <w:pPr>
        <w:pStyle w:val="Center"/>
        <w:rPr>
          <w:w w:val="100"/>
        </w:rPr>
      </w:pPr>
    </w:p>
    <w:p w:rsidR="00000000" w:rsidRDefault="00EC264E">
      <w:pPr>
        <w:pStyle w:val="TitleTOC"/>
        <w:rPr>
          <w:w w:val="100"/>
        </w:rPr>
      </w:pPr>
      <w:r>
        <w:rPr>
          <w:w w:val="100"/>
        </w:rPr>
        <w:t>10.01.04 - Rules of Continuing Professional Development</w:t>
      </w:r>
    </w:p>
    <w:p w:rsidR="00000000" w:rsidRDefault="00EC264E">
      <w:pPr>
        <w:pStyle w:val="Body"/>
        <w:rPr>
          <w:w w:val="100"/>
        </w:rPr>
      </w:pPr>
    </w:p>
    <w:p w:rsidR="00000000" w:rsidRDefault="00EC264E">
      <w:pPr>
        <w:pStyle w:val="SectionNameTOC"/>
        <w:rPr>
          <w:w w:val="100"/>
        </w:rPr>
      </w:pPr>
      <w:r>
        <w:rPr>
          <w:w w:val="100"/>
        </w:rPr>
        <w:t>000.</w:t>
      </w:r>
      <w:r>
        <w:rPr>
          <w:w w:val="100"/>
        </w:rPr>
        <w:tab/>
        <w:t>Legal Authority.</w:t>
      </w:r>
    </w:p>
    <w:p w:rsidR="00000000" w:rsidRDefault="00EC264E">
      <w:pPr>
        <w:pStyle w:val="Body"/>
        <w:rPr>
          <w:w w:val="100"/>
        </w:rPr>
      </w:pPr>
      <w:r>
        <w:rPr>
          <w:w w:val="100"/>
        </w:rPr>
        <w:t>These rules are promulgated as authorized by Section 54</w:t>
      </w:r>
      <w:r>
        <w:rPr>
          <w:w w:val="100"/>
        </w:rPr>
        <w:noBreakHyphen/>
      </w:r>
      <w:proofErr w:type="gramStart"/>
      <w:r>
        <w:rPr>
          <w:w w:val="100"/>
        </w:rPr>
        <w:t>1208(</w:t>
      </w:r>
      <w:proofErr w:type="gramEnd"/>
      <w:r>
        <w:rPr>
          <w:w w:val="100"/>
        </w:rPr>
        <w:t>1), Idaho Code.</w:t>
      </w:r>
      <w:r>
        <w:rPr>
          <w:w w:val="100"/>
        </w:rPr>
        <w:tab/>
      </w:r>
      <w:r>
        <w:rPr>
          <w:w w:val="100"/>
        </w:rPr>
        <w:t>(7-1-99)</w:t>
      </w:r>
    </w:p>
    <w:p w:rsidR="00000000" w:rsidRDefault="00EC264E">
      <w:pPr>
        <w:pStyle w:val="Body"/>
        <w:rPr>
          <w:w w:val="100"/>
        </w:rPr>
      </w:pPr>
    </w:p>
    <w:p w:rsidR="00000000" w:rsidRDefault="00EC264E">
      <w:pPr>
        <w:pStyle w:val="SectionNameTOC"/>
        <w:rPr>
          <w:w w:val="100"/>
        </w:rPr>
      </w:pPr>
      <w:r>
        <w:rPr>
          <w:w w:val="100"/>
        </w:rPr>
        <w:t>001.</w:t>
      </w:r>
      <w:r>
        <w:rPr>
          <w:w w:val="100"/>
        </w:rPr>
        <w:tab/>
        <w:t>Title And Scope.</w:t>
      </w:r>
    </w:p>
    <w:p w:rsidR="00000000" w:rsidRDefault="00EC264E">
      <w:pPr>
        <w:pStyle w:val="Body"/>
        <w:rPr>
          <w:w w:val="100"/>
        </w:rPr>
      </w:pPr>
    </w:p>
    <w:p w:rsidR="00000000" w:rsidRDefault="00EC264E">
      <w:pPr>
        <w:pStyle w:val="Body"/>
        <w:rPr>
          <w:w w:val="100"/>
        </w:rPr>
      </w:pPr>
      <w:r>
        <w:rPr>
          <w:w w:val="100"/>
        </w:rPr>
        <w:tab/>
      </w:r>
      <w:r>
        <w:rPr>
          <w:rStyle w:val="Bold"/>
        </w:rPr>
        <w:t>01.</w:t>
      </w:r>
      <w:r>
        <w:rPr>
          <w:rStyle w:val="Bold"/>
        </w:rPr>
        <w:tab/>
        <w:t>Title</w:t>
      </w:r>
      <w:r>
        <w:rPr>
          <w:w w:val="100"/>
        </w:rPr>
        <w:t>. These rules shall be cited in full as Idaho Board of Licensure of Professional Engineers and Professional Land Surveyors, IDAPA 10.01.04, “Rules of Continuing Professional Development.”</w:t>
      </w:r>
      <w:r>
        <w:rPr>
          <w:w w:val="100"/>
        </w:rPr>
        <w:tab/>
      </w:r>
      <w:r>
        <w:rPr>
          <w:w w:val="100"/>
        </w:rPr>
        <w:t>(5-8-09)</w:t>
      </w:r>
    </w:p>
    <w:p w:rsidR="00000000" w:rsidRDefault="00EC264E">
      <w:pPr>
        <w:pStyle w:val="Body"/>
        <w:rPr>
          <w:w w:val="100"/>
        </w:rPr>
      </w:pPr>
    </w:p>
    <w:p w:rsidR="00000000" w:rsidRDefault="00EC264E">
      <w:pPr>
        <w:pStyle w:val="Body"/>
        <w:rPr>
          <w:w w:val="100"/>
        </w:rPr>
      </w:pPr>
      <w:r>
        <w:rPr>
          <w:w w:val="100"/>
        </w:rPr>
        <w:tab/>
      </w:r>
      <w:r>
        <w:rPr>
          <w:rStyle w:val="Bold"/>
        </w:rPr>
        <w:t>02.</w:t>
      </w:r>
      <w:r>
        <w:rPr>
          <w:rStyle w:val="Bold"/>
        </w:rPr>
        <w:tab/>
        <w:t>Scope</w:t>
      </w:r>
      <w:r>
        <w:rPr>
          <w:w w:val="100"/>
        </w:rPr>
        <w:t>. In order to establish and maintain a high st</w:t>
      </w:r>
      <w:r>
        <w:rPr>
          <w:w w:val="100"/>
        </w:rPr>
        <w:t>andard of integrity, skills and practice in the professions of engineering and land surveying, and to safeguard the life, health, property and welfare of the public, the following Rules of Continuing Professional Development, hereinafter referred to as Rul</w:t>
      </w:r>
      <w:r>
        <w:rPr>
          <w:w w:val="100"/>
        </w:rPr>
        <w:t>es, have been promulgated in accordance with Section 54</w:t>
      </w:r>
      <w:r>
        <w:rPr>
          <w:w w:val="100"/>
        </w:rPr>
        <w:noBreakHyphen/>
        <w:t>1208, Idaho Code, and shall be binding in the state of Idaho upon every person holding a license to practice as a Professional Engineer or a Professional Land Surveyor, or both. Each Licensee under th</w:t>
      </w:r>
      <w:r>
        <w:rPr>
          <w:w w:val="100"/>
        </w:rPr>
        <w:t xml:space="preserve">e laws of the state of Idaho is charged with being familiar with these rules and knowledgeable in their application to the practice of engineering or land surveying or both. Every Licensee shall meet the continuing professional development requirements of </w:t>
      </w:r>
      <w:r>
        <w:rPr>
          <w:w w:val="100"/>
        </w:rPr>
        <w:t xml:space="preserve">these rules as one of the conditions for license renewal. If an individual is licensed to practice both engineering and land surveying the individual must comply with the requirements of these rules in regard to each profession. Some activities as defined </w:t>
      </w:r>
      <w:r>
        <w:rPr>
          <w:w w:val="100"/>
        </w:rPr>
        <w:t>herein may qualify as continuing professional development for both professions and may be included in the log for each profession. These rules shall not be a basis for action involving civil liability, however, failure to obey these Rules may subject a Lic</w:t>
      </w:r>
      <w:r>
        <w:rPr>
          <w:w w:val="100"/>
        </w:rPr>
        <w:t xml:space="preserve">ensee to Board action pursuant to Chapter 12, Title 54, </w:t>
      </w:r>
      <w:proofErr w:type="gramStart"/>
      <w:r>
        <w:rPr>
          <w:w w:val="100"/>
        </w:rPr>
        <w:t>Idaho</w:t>
      </w:r>
      <w:proofErr w:type="gramEnd"/>
      <w:r>
        <w:rPr>
          <w:w w:val="100"/>
        </w:rPr>
        <w:t xml:space="preserve"> Code.</w:t>
      </w:r>
      <w:r>
        <w:rPr>
          <w:w w:val="100"/>
        </w:rPr>
        <w:tab/>
      </w:r>
      <w:r>
        <w:rPr>
          <w:w w:val="100"/>
        </w:rPr>
        <w:tab/>
      </w:r>
      <w:r>
        <w:rPr>
          <w:w w:val="100"/>
        </w:rPr>
        <w:tab/>
      </w:r>
      <w:r>
        <w:rPr>
          <w:w w:val="100"/>
        </w:rPr>
        <w:t>(5-8-09)</w:t>
      </w:r>
    </w:p>
    <w:p w:rsidR="00000000" w:rsidRDefault="00EC264E">
      <w:pPr>
        <w:pStyle w:val="Body"/>
        <w:rPr>
          <w:w w:val="100"/>
        </w:rPr>
      </w:pPr>
    </w:p>
    <w:p w:rsidR="00000000" w:rsidRDefault="00EC264E">
      <w:pPr>
        <w:pStyle w:val="SectionNameTOC"/>
        <w:rPr>
          <w:w w:val="100"/>
        </w:rPr>
      </w:pPr>
      <w:r>
        <w:rPr>
          <w:w w:val="100"/>
        </w:rPr>
        <w:t>002.</w:t>
      </w:r>
      <w:r>
        <w:rPr>
          <w:w w:val="100"/>
        </w:rPr>
        <w:tab/>
        <w:t>Administrative Appeals.</w:t>
      </w:r>
    </w:p>
    <w:p w:rsidR="00000000" w:rsidRDefault="00EC264E">
      <w:pPr>
        <w:pStyle w:val="Body"/>
        <w:rPr>
          <w:w w:val="100"/>
        </w:rPr>
      </w:pPr>
      <w:r>
        <w:rPr>
          <w:w w:val="100"/>
        </w:rPr>
        <w:t>Persons desiring to contest the actions taken in accordance with these rules shall seek administrative relief under the Attorney General’s Rules, I</w:t>
      </w:r>
      <w:r>
        <w:rPr>
          <w:w w:val="100"/>
        </w:rPr>
        <w:t xml:space="preserve">DAPA 04.11.01, </w:t>
      </w:r>
      <w:proofErr w:type="gramStart"/>
      <w:r>
        <w:rPr>
          <w:w w:val="100"/>
        </w:rPr>
        <w:t>“</w:t>
      </w:r>
      <w:proofErr w:type="gramEnd"/>
      <w:r>
        <w:rPr>
          <w:w w:val="100"/>
        </w:rPr>
        <w:t>Idaho Rules of Administrative Procedure of the Attorney General.”</w:t>
      </w:r>
    </w:p>
    <w:p w:rsidR="00000000" w:rsidRDefault="00EC264E">
      <w:pPr>
        <w:pStyle w:val="Body"/>
        <w:rPr>
          <w:w w:val="100"/>
        </w:rPr>
      </w:pPr>
      <w:r>
        <w:rPr>
          <w:w w:val="100"/>
        </w:rPr>
        <w:tab/>
      </w:r>
      <w:r>
        <w:rPr>
          <w:w w:val="100"/>
        </w:rPr>
        <w:tab/>
      </w:r>
      <w:r>
        <w:rPr>
          <w:w w:val="100"/>
        </w:rPr>
        <w:tab/>
      </w:r>
      <w:r>
        <w:rPr>
          <w:w w:val="100"/>
        </w:rPr>
        <w:t>(7-1-99)</w:t>
      </w:r>
    </w:p>
    <w:p w:rsidR="00000000" w:rsidRDefault="00EC264E">
      <w:pPr>
        <w:pStyle w:val="Body"/>
        <w:rPr>
          <w:w w:val="100"/>
        </w:rPr>
      </w:pPr>
    </w:p>
    <w:p w:rsidR="00000000" w:rsidRDefault="00EC264E">
      <w:pPr>
        <w:pStyle w:val="SectionNameTOC"/>
        <w:rPr>
          <w:w w:val="100"/>
        </w:rPr>
      </w:pPr>
      <w:r>
        <w:rPr>
          <w:w w:val="100"/>
        </w:rPr>
        <w:t>003.</w:t>
      </w:r>
      <w:r>
        <w:rPr>
          <w:w w:val="100"/>
        </w:rPr>
        <w:tab/>
        <w:t>Written Interpretations.</w:t>
      </w:r>
    </w:p>
    <w:p w:rsidR="00000000" w:rsidRDefault="00EC264E">
      <w:pPr>
        <w:pStyle w:val="Body"/>
        <w:rPr>
          <w:w w:val="100"/>
        </w:rPr>
      </w:pPr>
      <w:r>
        <w:rPr>
          <w:w w:val="100"/>
        </w:rPr>
        <w:t>In accordance with Section 67</w:t>
      </w:r>
      <w:r>
        <w:rPr>
          <w:w w:val="100"/>
        </w:rPr>
        <w:noBreakHyphen/>
      </w:r>
      <w:proofErr w:type="gramStart"/>
      <w:r>
        <w:rPr>
          <w:w w:val="100"/>
        </w:rPr>
        <w:t>5201(</w:t>
      </w:r>
      <w:proofErr w:type="gramEnd"/>
      <w:r>
        <w:rPr>
          <w:w w:val="100"/>
        </w:rPr>
        <w:t>19)(b)(iv), Idaho Code, this agency has written statements which pertain to the interpretation o</w:t>
      </w:r>
      <w:r>
        <w:rPr>
          <w:w w:val="100"/>
        </w:rPr>
        <w:t>f the rules of this chapter, or to the documentation of compliance with the rules of this chapter. These documents are available for public inspection and copying at cost in the main office of this agency.</w:t>
      </w:r>
      <w:r>
        <w:rPr>
          <w:w w:val="100"/>
        </w:rPr>
        <w:tab/>
      </w:r>
      <w:r>
        <w:rPr>
          <w:w w:val="100"/>
        </w:rPr>
        <w:t>(7-1-99)</w:t>
      </w:r>
    </w:p>
    <w:p w:rsidR="00000000" w:rsidRDefault="00EC264E">
      <w:pPr>
        <w:pStyle w:val="Body"/>
        <w:rPr>
          <w:w w:val="100"/>
        </w:rPr>
      </w:pPr>
    </w:p>
    <w:p w:rsidR="00000000" w:rsidRDefault="00EC264E">
      <w:pPr>
        <w:pStyle w:val="SectionNameTOC"/>
        <w:rPr>
          <w:w w:val="100"/>
        </w:rPr>
      </w:pPr>
      <w:r>
        <w:rPr>
          <w:w w:val="100"/>
        </w:rPr>
        <w:t>004.</w:t>
      </w:r>
      <w:r>
        <w:rPr>
          <w:w w:val="100"/>
        </w:rPr>
        <w:tab/>
      </w:r>
      <w:r>
        <w:rPr>
          <w:w w:val="100"/>
        </w:rPr>
        <w:fldChar w:fldCharType="begin"/>
      </w:r>
      <w:r>
        <w:rPr>
          <w:w w:val="100"/>
        </w:rPr>
        <w:instrText>xe "</w:instrText>
      </w:r>
      <w:r>
        <w:rPr>
          <w:w w:val="100"/>
        </w:rPr>
        <w:instrText xml:space="preserve">Definitions, IDAPA 10.01.04, </w:instrText>
      </w:r>
      <w:r>
        <w:rPr>
          <w:w w:val="100"/>
        </w:rPr>
        <w:instrText>Rules Of Continuing Professional Development</w:instrText>
      </w:r>
      <w:r>
        <w:rPr>
          <w:w w:val="100"/>
        </w:rPr>
        <w:instrText>"</w:instrText>
      </w:r>
      <w:r>
        <w:rPr>
          <w:w w:val="100"/>
        </w:rPr>
        <w:fldChar w:fldCharType="end"/>
      </w:r>
      <w:r>
        <w:rPr>
          <w:w w:val="100"/>
        </w:rPr>
        <w:t>Definitions.</w:t>
      </w:r>
    </w:p>
    <w:p w:rsidR="00000000" w:rsidRDefault="00EC264E">
      <w:pPr>
        <w:pStyle w:val="Body"/>
        <w:rPr>
          <w:w w:val="100"/>
        </w:rPr>
      </w:pPr>
      <w:r>
        <w:rPr>
          <w:w w:val="100"/>
        </w:rPr>
        <w:t>For the purposes of these rules, the following terms are used as defined below:</w:t>
      </w:r>
      <w:r>
        <w:rPr>
          <w:w w:val="100"/>
        </w:rPr>
        <w:tab/>
      </w:r>
      <w:r>
        <w:rPr>
          <w:w w:val="100"/>
        </w:rPr>
        <w:t>(7-1-99)</w:t>
      </w:r>
    </w:p>
    <w:p w:rsidR="00000000" w:rsidRDefault="00EC264E">
      <w:pPr>
        <w:pStyle w:val="Body"/>
        <w:rPr>
          <w:w w:val="100"/>
        </w:rPr>
      </w:pPr>
    </w:p>
    <w:p w:rsidR="00000000" w:rsidRDefault="00EC264E">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 xml:space="preserve">Definitions, IDAPA 10.01.04, Rules Of Continuing Professional Development: College Semester or </w:instrText>
      </w:r>
      <w:r>
        <w:rPr>
          <w:rStyle w:val="Bold"/>
        </w:rPr>
        <w:instrText>Quarter Credit Hour</w:instrText>
      </w:r>
      <w:r>
        <w:rPr>
          <w:rStyle w:val="Bold"/>
        </w:rPr>
        <w:instrText>"</w:instrText>
      </w:r>
      <w:r>
        <w:rPr>
          <w:rStyle w:val="Bold"/>
        </w:rPr>
        <w:fldChar w:fldCharType="end"/>
      </w:r>
      <w:r>
        <w:rPr>
          <w:rStyle w:val="Bold"/>
        </w:rPr>
        <w:t>College Semester or Quarter Credit Hour</w:t>
      </w:r>
      <w:r>
        <w:rPr>
          <w:w w:val="100"/>
        </w:rPr>
        <w:t xml:space="preserve">. </w:t>
      </w:r>
      <w:proofErr w:type="gramStart"/>
      <w:r>
        <w:rPr>
          <w:w w:val="100"/>
        </w:rPr>
        <w:t>Credit for college courses.</w:t>
      </w:r>
      <w:proofErr w:type="gramEnd"/>
      <w:r>
        <w:rPr>
          <w:w w:val="100"/>
        </w:rPr>
        <w:tab/>
        <w:t>(7-1-99)</w:t>
      </w:r>
    </w:p>
    <w:p w:rsidR="00000000" w:rsidRDefault="00EC264E">
      <w:pPr>
        <w:pStyle w:val="Body"/>
        <w:rPr>
          <w:w w:val="100"/>
        </w:rPr>
      </w:pPr>
    </w:p>
    <w:p w:rsidR="00000000" w:rsidRDefault="00EC264E">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Definitions, IDAPA 10.01.04, Rules Of Continuing Professional Development: Continuing Education Unit (CEU)</w:instrText>
      </w:r>
      <w:r>
        <w:rPr>
          <w:rStyle w:val="Bold"/>
        </w:rPr>
        <w:instrText>"</w:instrText>
      </w:r>
      <w:r>
        <w:rPr>
          <w:rStyle w:val="Bold"/>
        </w:rPr>
        <w:fldChar w:fldCharType="end"/>
      </w:r>
      <w:r>
        <w:rPr>
          <w:rStyle w:val="Bold"/>
        </w:rPr>
        <w:t>Continuing Education Unit (CEU)</w:t>
      </w:r>
      <w:r>
        <w:rPr>
          <w:w w:val="100"/>
        </w:rPr>
        <w:t>. Unit</w:t>
      </w:r>
      <w:r>
        <w:rPr>
          <w:w w:val="100"/>
        </w:rPr>
        <w:t xml:space="preserve"> of credit customarily used for continuing education courses. One (1) continuing education unit equals ten (10) hours of class in an approved continuing education course.</w:t>
      </w:r>
    </w:p>
    <w:p w:rsidR="00000000" w:rsidRDefault="00EC264E">
      <w:pPr>
        <w:pStyle w:val="Body"/>
        <w:rPr>
          <w:w w:val="100"/>
        </w:rPr>
      </w:pPr>
      <w:r>
        <w:rPr>
          <w:w w:val="100"/>
        </w:rPr>
        <w:tab/>
      </w:r>
      <w:r>
        <w:rPr>
          <w:w w:val="100"/>
        </w:rPr>
        <w:tab/>
      </w:r>
      <w:r>
        <w:rPr>
          <w:w w:val="100"/>
        </w:rPr>
        <w:tab/>
      </w:r>
      <w:r>
        <w:rPr>
          <w:w w:val="100"/>
        </w:rPr>
        <w:t>(7-1-99)</w:t>
      </w:r>
    </w:p>
    <w:p w:rsidR="00000000" w:rsidRDefault="00EC264E">
      <w:pPr>
        <w:pStyle w:val="Body"/>
        <w:rPr>
          <w:w w:val="100"/>
        </w:rPr>
      </w:pPr>
    </w:p>
    <w:p w:rsidR="00000000" w:rsidRDefault="00EC264E">
      <w:pPr>
        <w:pStyle w:val="Body"/>
        <w:rPr>
          <w:w w:val="100"/>
        </w:rPr>
      </w:pPr>
      <w:r>
        <w:rPr>
          <w:w w:val="100"/>
        </w:rPr>
        <w:tab/>
      </w:r>
      <w:r>
        <w:rPr>
          <w:rStyle w:val="Bold"/>
        </w:rPr>
        <w:t>03.</w:t>
      </w:r>
      <w:r>
        <w:rPr>
          <w:rStyle w:val="Bold"/>
        </w:rPr>
        <w:tab/>
      </w:r>
      <w:r>
        <w:rPr>
          <w:rStyle w:val="Bold"/>
        </w:rPr>
        <w:fldChar w:fldCharType="begin"/>
      </w:r>
      <w:r>
        <w:rPr>
          <w:rStyle w:val="Bold"/>
        </w:rPr>
        <w:instrText>xe "</w:instrText>
      </w:r>
      <w:r>
        <w:rPr>
          <w:rStyle w:val="Bold"/>
        </w:rPr>
        <w:instrText>Definitions, IDAPA 10.01.04, Rules Of Continuing Professional D</w:instrText>
      </w:r>
      <w:r>
        <w:rPr>
          <w:rStyle w:val="Bold"/>
        </w:rPr>
        <w:instrText>evelopment: Professional Development Hour (PDH)</w:instrText>
      </w:r>
      <w:r>
        <w:rPr>
          <w:rStyle w:val="Bold"/>
        </w:rPr>
        <w:instrText>"</w:instrText>
      </w:r>
      <w:r>
        <w:rPr>
          <w:rStyle w:val="Bold"/>
        </w:rPr>
        <w:fldChar w:fldCharType="end"/>
      </w:r>
      <w:r>
        <w:rPr>
          <w:rStyle w:val="Bold"/>
        </w:rPr>
        <w:t>Professional Development Hour (PDH)</w:t>
      </w:r>
      <w:r>
        <w:rPr>
          <w:w w:val="100"/>
        </w:rPr>
        <w:t xml:space="preserve">. </w:t>
      </w:r>
      <w:proofErr w:type="gramStart"/>
      <w:r>
        <w:rPr>
          <w:w w:val="100"/>
        </w:rPr>
        <w:t>A contact hour (minimum of fifty (50) minutes) of instruction or presentation.</w:t>
      </w:r>
      <w:proofErr w:type="gramEnd"/>
      <w:r>
        <w:rPr>
          <w:w w:val="100"/>
        </w:rPr>
        <w:t xml:space="preserve"> </w:t>
      </w:r>
      <w:proofErr w:type="gramStart"/>
      <w:r>
        <w:rPr>
          <w:w w:val="100"/>
        </w:rPr>
        <w:t>The common denominator for other units of credit.</w:t>
      </w:r>
      <w:proofErr w:type="gramEnd"/>
      <w:r>
        <w:rPr>
          <w:w w:val="100"/>
        </w:rPr>
        <w:tab/>
      </w:r>
      <w:r>
        <w:rPr>
          <w:w w:val="100"/>
        </w:rPr>
        <w:t>(7-1-99)</w:t>
      </w:r>
    </w:p>
    <w:p w:rsidR="00000000" w:rsidRDefault="00EC264E">
      <w:pPr>
        <w:pStyle w:val="Body"/>
        <w:rPr>
          <w:w w:val="100"/>
        </w:rPr>
      </w:pPr>
    </w:p>
    <w:p w:rsidR="00000000" w:rsidRDefault="00EC264E">
      <w:pPr>
        <w:pStyle w:val="Body"/>
        <w:rPr>
          <w:w w:val="100"/>
        </w:rPr>
      </w:pPr>
      <w:r>
        <w:rPr>
          <w:w w:val="100"/>
        </w:rPr>
        <w:tab/>
      </w:r>
      <w:r>
        <w:rPr>
          <w:rStyle w:val="Bold"/>
        </w:rPr>
        <w:t>04.</w:t>
      </w:r>
      <w:r>
        <w:rPr>
          <w:rStyle w:val="Bold"/>
        </w:rPr>
        <w:tab/>
      </w:r>
      <w:r>
        <w:rPr>
          <w:rStyle w:val="Bold"/>
        </w:rPr>
        <w:fldChar w:fldCharType="begin"/>
      </w:r>
      <w:r>
        <w:rPr>
          <w:rStyle w:val="Bold"/>
        </w:rPr>
        <w:instrText>xe "</w:instrText>
      </w:r>
      <w:r>
        <w:rPr>
          <w:rStyle w:val="Bold"/>
        </w:rPr>
        <w:instrText xml:space="preserve">Definitions, IDAPA </w:instrText>
      </w:r>
      <w:r>
        <w:rPr>
          <w:rStyle w:val="Bold"/>
        </w:rPr>
        <w:instrText>10.01.04, Rules Of Continuing Professional Development: Activity</w:instrText>
      </w:r>
      <w:r>
        <w:rPr>
          <w:rStyle w:val="Bold"/>
        </w:rPr>
        <w:instrText>"</w:instrText>
      </w:r>
      <w:r>
        <w:rPr>
          <w:rStyle w:val="Bold"/>
        </w:rPr>
        <w:fldChar w:fldCharType="end"/>
      </w:r>
      <w:r>
        <w:rPr>
          <w:rStyle w:val="Bold"/>
        </w:rPr>
        <w:t>Activity</w:t>
      </w:r>
      <w:r>
        <w:rPr>
          <w:w w:val="100"/>
        </w:rPr>
        <w:t xml:space="preserve">. Any qualifying </w:t>
      </w:r>
      <w:proofErr w:type="gramStart"/>
      <w:r>
        <w:rPr>
          <w:w w:val="100"/>
        </w:rPr>
        <w:t>action</w:t>
      </w:r>
      <w:proofErr w:type="gramEnd"/>
      <w:r>
        <w:rPr>
          <w:w w:val="100"/>
        </w:rPr>
        <w:t xml:space="preserve"> with a clear purpose and objective which will maintain, improve, or expand the skills and knowledge relevant to the licensee’s field of practice or practices</w:t>
      </w:r>
      <w:r>
        <w:rPr>
          <w:w w:val="100"/>
        </w:rPr>
        <w:t>. Routine job assignments are not considered qualified activities.</w:t>
      </w:r>
      <w:r>
        <w:rPr>
          <w:w w:val="100"/>
        </w:rPr>
        <w:tab/>
      </w:r>
      <w:r>
        <w:rPr>
          <w:w w:val="100"/>
        </w:rPr>
        <w:t>(3-29-12)</w:t>
      </w:r>
    </w:p>
    <w:p w:rsidR="00000000" w:rsidRDefault="00EC264E">
      <w:pPr>
        <w:pStyle w:val="Body"/>
        <w:rPr>
          <w:w w:val="100"/>
        </w:rPr>
      </w:pPr>
    </w:p>
    <w:p w:rsidR="00000000" w:rsidRDefault="00EC264E">
      <w:pPr>
        <w:pStyle w:val="Body"/>
        <w:rPr>
          <w:w w:val="100"/>
        </w:rPr>
      </w:pPr>
      <w:r>
        <w:rPr>
          <w:w w:val="100"/>
        </w:rPr>
        <w:tab/>
      </w:r>
      <w:r>
        <w:rPr>
          <w:rStyle w:val="Bold"/>
        </w:rPr>
        <w:t>05.</w:t>
      </w:r>
      <w:r>
        <w:rPr>
          <w:rStyle w:val="Bold"/>
        </w:rPr>
        <w:tab/>
      </w:r>
      <w:r>
        <w:rPr>
          <w:rStyle w:val="Bold"/>
        </w:rPr>
        <w:fldChar w:fldCharType="begin"/>
      </w:r>
      <w:r>
        <w:rPr>
          <w:rStyle w:val="Bold"/>
        </w:rPr>
        <w:instrText>xe "</w:instrText>
      </w:r>
      <w:r>
        <w:rPr>
          <w:rStyle w:val="Bold"/>
        </w:rPr>
        <w:instrText>Definitions, IDAPA 10.01.04, Rules Of Continuing Professional Development: Licensee</w:instrText>
      </w:r>
      <w:r>
        <w:rPr>
          <w:rStyle w:val="Bold"/>
        </w:rPr>
        <w:instrText>"</w:instrText>
      </w:r>
      <w:r>
        <w:rPr>
          <w:rStyle w:val="Bold"/>
        </w:rPr>
        <w:fldChar w:fldCharType="end"/>
      </w:r>
      <w:r>
        <w:rPr>
          <w:rStyle w:val="Bold"/>
        </w:rPr>
        <w:t>Licensee</w:t>
      </w:r>
      <w:r>
        <w:rPr>
          <w:w w:val="100"/>
        </w:rPr>
        <w:t xml:space="preserve">. </w:t>
      </w:r>
      <w:proofErr w:type="gramStart"/>
      <w:r>
        <w:rPr>
          <w:w w:val="100"/>
        </w:rPr>
        <w:t>A person who is licensed to practice as a professional engineer or prof</w:t>
      </w:r>
      <w:r>
        <w:rPr>
          <w:w w:val="100"/>
        </w:rPr>
        <w:t>essional land surveyor or both.</w:t>
      </w:r>
      <w:proofErr w:type="gramEnd"/>
      <w:r>
        <w:rPr>
          <w:w w:val="100"/>
        </w:rPr>
        <w:tab/>
      </w:r>
      <w:r>
        <w:rPr>
          <w:w w:val="100"/>
        </w:rPr>
        <w:tab/>
      </w:r>
      <w:r>
        <w:rPr>
          <w:w w:val="100"/>
        </w:rPr>
        <w:t>(5-8-09)</w:t>
      </w:r>
    </w:p>
    <w:p w:rsidR="00000000" w:rsidRDefault="00EC264E">
      <w:pPr>
        <w:pStyle w:val="Body"/>
        <w:rPr>
          <w:w w:val="100"/>
        </w:rPr>
      </w:pPr>
    </w:p>
    <w:p w:rsidR="00000000" w:rsidRDefault="00EC264E">
      <w:pPr>
        <w:pStyle w:val="Body"/>
        <w:rPr>
          <w:w w:val="100"/>
        </w:rPr>
      </w:pPr>
      <w:r>
        <w:rPr>
          <w:w w:val="100"/>
        </w:rPr>
        <w:tab/>
      </w:r>
      <w:r>
        <w:rPr>
          <w:rStyle w:val="Bold"/>
        </w:rPr>
        <w:t>06.</w:t>
      </w:r>
      <w:r>
        <w:rPr>
          <w:rStyle w:val="Bold"/>
        </w:rPr>
        <w:tab/>
      </w:r>
      <w:r>
        <w:rPr>
          <w:rStyle w:val="Bold"/>
        </w:rPr>
        <w:fldChar w:fldCharType="begin"/>
      </w:r>
      <w:r>
        <w:rPr>
          <w:rStyle w:val="Bold"/>
        </w:rPr>
        <w:instrText>xe "</w:instrText>
      </w:r>
      <w:r>
        <w:rPr>
          <w:rStyle w:val="Bold"/>
        </w:rPr>
        <w:instrText>Definitions, IDAPA 10.01.04, Rules Of Continuing Professional Development: Board</w:instrText>
      </w:r>
      <w:r>
        <w:rPr>
          <w:rStyle w:val="Bold"/>
        </w:rPr>
        <w:instrText>"</w:instrText>
      </w:r>
      <w:r>
        <w:rPr>
          <w:rStyle w:val="Bold"/>
        </w:rPr>
        <w:fldChar w:fldCharType="end"/>
      </w:r>
      <w:r>
        <w:rPr>
          <w:rStyle w:val="Bold"/>
        </w:rPr>
        <w:t>Board</w:t>
      </w:r>
      <w:r>
        <w:rPr>
          <w:w w:val="100"/>
        </w:rPr>
        <w:t xml:space="preserve">. </w:t>
      </w:r>
      <w:proofErr w:type="gramStart"/>
      <w:r>
        <w:rPr>
          <w:w w:val="100"/>
        </w:rPr>
        <w:t>The Idaho Board of Licensure of Professional Engineers and Professional Land Surveyors.</w:t>
      </w:r>
      <w:proofErr w:type="gramEnd"/>
    </w:p>
    <w:p w:rsidR="00000000" w:rsidRDefault="00EC264E">
      <w:pPr>
        <w:pStyle w:val="Body"/>
        <w:rPr>
          <w:w w:val="100"/>
        </w:rPr>
      </w:pPr>
      <w:r>
        <w:rPr>
          <w:w w:val="100"/>
        </w:rPr>
        <w:tab/>
      </w:r>
      <w:r>
        <w:rPr>
          <w:w w:val="100"/>
        </w:rPr>
        <w:tab/>
      </w:r>
      <w:r>
        <w:rPr>
          <w:w w:val="100"/>
        </w:rPr>
        <w:tab/>
      </w:r>
      <w:r>
        <w:rPr>
          <w:w w:val="100"/>
        </w:rPr>
        <w:t>(5-8-09)</w:t>
      </w:r>
    </w:p>
    <w:p w:rsidR="00000000" w:rsidRDefault="00EC264E">
      <w:pPr>
        <w:pStyle w:val="Body"/>
        <w:rPr>
          <w:w w:val="100"/>
        </w:rPr>
      </w:pPr>
    </w:p>
    <w:p w:rsidR="00000000" w:rsidRDefault="00EC264E">
      <w:pPr>
        <w:pStyle w:val="Body"/>
        <w:rPr>
          <w:w w:val="100"/>
        </w:rPr>
      </w:pPr>
      <w:r>
        <w:rPr>
          <w:w w:val="100"/>
        </w:rPr>
        <w:tab/>
      </w:r>
      <w:r>
        <w:rPr>
          <w:rStyle w:val="Bold"/>
        </w:rPr>
        <w:t>07.</w:t>
      </w:r>
      <w:r>
        <w:rPr>
          <w:rStyle w:val="Bold"/>
        </w:rPr>
        <w:tab/>
      </w:r>
      <w:r>
        <w:rPr>
          <w:rStyle w:val="Bold"/>
        </w:rPr>
        <w:fldChar w:fldCharType="begin"/>
      </w:r>
      <w:r>
        <w:rPr>
          <w:rStyle w:val="Bold"/>
        </w:rPr>
        <w:instrText>xe "</w:instrText>
      </w:r>
      <w:r>
        <w:rPr>
          <w:rStyle w:val="Bold"/>
        </w:rPr>
        <w:instrText>Def</w:instrText>
      </w:r>
      <w:r>
        <w:rPr>
          <w:rStyle w:val="Bold"/>
        </w:rPr>
        <w:instrText>initions, IDAPA 10.01.04, Rules Of Continuing Professional Development: Documented Self-Study</w:instrText>
      </w:r>
      <w:r>
        <w:rPr>
          <w:rStyle w:val="Bold"/>
        </w:rPr>
        <w:instrText>"</w:instrText>
      </w:r>
      <w:r>
        <w:rPr>
          <w:rStyle w:val="Bold"/>
        </w:rPr>
        <w:fldChar w:fldCharType="end"/>
      </w:r>
      <w:r>
        <w:rPr>
          <w:rStyle w:val="Bold"/>
        </w:rPr>
        <w:t>Documented Self-Study</w:t>
      </w:r>
      <w:r>
        <w:rPr>
          <w:w w:val="100"/>
        </w:rPr>
        <w:t>. Documented study of professional/technical journals, published papers, articles, books, software or other areas of training which increas</w:t>
      </w:r>
      <w:r>
        <w:rPr>
          <w:w w:val="100"/>
        </w:rPr>
        <w:t>e knowledge of the technology above and beyond routine job assignments.</w:t>
      </w:r>
      <w:r>
        <w:rPr>
          <w:w w:val="100"/>
        </w:rPr>
        <w:tab/>
      </w:r>
      <w:r>
        <w:rPr>
          <w:w w:val="100"/>
        </w:rPr>
        <w:t>(5-8-09)</w:t>
      </w:r>
    </w:p>
    <w:p w:rsidR="00000000" w:rsidRDefault="00EC264E">
      <w:pPr>
        <w:pStyle w:val="Body"/>
        <w:rPr>
          <w:w w:val="100"/>
        </w:rPr>
      </w:pPr>
    </w:p>
    <w:p w:rsidR="00000000" w:rsidRDefault="00EC264E">
      <w:pPr>
        <w:pStyle w:val="Body"/>
        <w:rPr>
          <w:w w:val="100"/>
        </w:rPr>
      </w:pPr>
      <w:r>
        <w:rPr>
          <w:w w:val="100"/>
        </w:rPr>
        <w:tab/>
      </w:r>
      <w:r>
        <w:rPr>
          <w:rStyle w:val="Bold"/>
        </w:rPr>
        <w:t>08.</w:t>
      </w:r>
      <w:r>
        <w:rPr>
          <w:rStyle w:val="Bold"/>
        </w:rPr>
        <w:tab/>
      </w:r>
      <w:r>
        <w:rPr>
          <w:rStyle w:val="Bold"/>
        </w:rPr>
        <w:fldChar w:fldCharType="begin"/>
      </w:r>
      <w:r>
        <w:rPr>
          <w:rStyle w:val="Bold"/>
        </w:rPr>
        <w:instrText>xe "</w:instrText>
      </w:r>
      <w:r>
        <w:rPr>
          <w:rStyle w:val="Bold"/>
        </w:rPr>
        <w:instrText>Definitions, IDAPA 10.01.04, Rules Of Continuing Professional Development: Active Participation</w:instrText>
      </w:r>
      <w:r>
        <w:rPr>
          <w:rStyle w:val="Bold"/>
        </w:rPr>
        <w:instrText>"</w:instrText>
      </w:r>
      <w:r>
        <w:rPr>
          <w:rStyle w:val="Bold"/>
        </w:rPr>
        <w:fldChar w:fldCharType="end"/>
      </w:r>
      <w:r>
        <w:rPr>
          <w:rStyle w:val="Bold"/>
        </w:rPr>
        <w:t>Active Participation</w:t>
      </w:r>
      <w:r>
        <w:rPr>
          <w:w w:val="100"/>
        </w:rPr>
        <w:t xml:space="preserve">. </w:t>
      </w:r>
      <w:proofErr w:type="gramStart"/>
      <w:r>
        <w:rPr>
          <w:w w:val="100"/>
        </w:rPr>
        <w:t>Serving as an officer or committee chair at</w:t>
      </w:r>
      <w:r>
        <w:rPr>
          <w:w w:val="100"/>
        </w:rPr>
        <w:t xml:space="preserve"> either the national, state or local (section or chapter) level.</w:t>
      </w:r>
      <w:proofErr w:type="gramEnd"/>
      <w:r>
        <w:rPr>
          <w:w w:val="100"/>
        </w:rPr>
        <w:tab/>
      </w:r>
      <w:r>
        <w:rPr>
          <w:w w:val="100"/>
        </w:rPr>
        <w:t>(5-8-09)</w:t>
      </w:r>
    </w:p>
    <w:p w:rsidR="00000000" w:rsidRDefault="00EC264E">
      <w:pPr>
        <w:pStyle w:val="Body"/>
        <w:rPr>
          <w:w w:val="100"/>
        </w:rPr>
      </w:pPr>
    </w:p>
    <w:p w:rsidR="00000000" w:rsidRDefault="00EC264E">
      <w:pPr>
        <w:pStyle w:val="SectionNameTOC"/>
        <w:rPr>
          <w:w w:val="100"/>
        </w:rPr>
      </w:pPr>
      <w:r>
        <w:rPr>
          <w:w w:val="100"/>
        </w:rPr>
        <w:t>005.</w:t>
      </w:r>
      <w:r>
        <w:rPr>
          <w:w w:val="100"/>
        </w:rPr>
        <w:tab/>
      </w:r>
      <w:r>
        <w:rPr>
          <w:w w:val="100"/>
        </w:rPr>
        <w:fldChar w:fldCharType="begin"/>
      </w:r>
      <w:r>
        <w:rPr>
          <w:w w:val="100"/>
        </w:rPr>
        <w:instrText>xe "</w:instrText>
      </w:r>
      <w:r>
        <w:rPr>
          <w:w w:val="100"/>
        </w:rPr>
        <w:instrText>Requirements</w:instrText>
      </w:r>
      <w:r>
        <w:rPr>
          <w:w w:val="100"/>
        </w:rPr>
        <w:instrText>"</w:instrText>
      </w:r>
      <w:r>
        <w:rPr>
          <w:w w:val="100"/>
        </w:rPr>
        <w:fldChar w:fldCharType="end"/>
      </w:r>
      <w:r>
        <w:rPr>
          <w:w w:val="100"/>
        </w:rPr>
        <w:t>Requirements.</w:t>
      </w:r>
    </w:p>
    <w:p w:rsidR="00000000" w:rsidRDefault="00EC264E">
      <w:pPr>
        <w:pStyle w:val="Body"/>
        <w:rPr>
          <w:w w:val="100"/>
        </w:rPr>
      </w:pPr>
      <w:r>
        <w:rPr>
          <w:w w:val="100"/>
        </w:rPr>
        <w:t>Every Licensee is required to obtain thirty (30) PDH units during the renewal period biennium (beginning on the first day of the month follow</w:t>
      </w:r>
      <w:r>
        <w:rPr>
          <w:w w:val="100"/>
        </w:rPr>
        <w:t>ing the month in which the Licensee was born). Alternatively, the licensee may choose to obtain thirty (30) PDH units cumulative during the two (2) calendar years which are closest to the renewal period biennium. If a Licensee exceeds the biennial requirem</w:t>
      </w:r>
      <w:r>
        <w:rPr>
          <w:w w:val="100"/>
        </w:rPr>
        <w:t>ent in any renewal period or earns PDHs during a period in which he is exempt, a maximum of thirty (30) PDH units may be carried forward into the subsequent renewal period. If the exemption is for the “First Renewal Period” (see Rule 009.01), then at any t</w:t>
      </w:r>
      <w:r>
        <w:rPr>
          <w:w w:val="100"/>
        </w:rPr>
        <w:t>ime in the full biennium before this first license renewal the licensee may earn up to 30 PDHs to carry forward into their second renewal period following licensure. If the licensee chooses to use the calendar year basis, PDH’s in excess of thirty (30) cum</w:t>
      </w:r>
      <w:r>
        <w:rPr>
          <w:w w:val="100"/>
        </w:rPr>
        <w:t>ulative in two (2) years, or PDH’s earned during a period in which he is exempt, can be carried forward to the next two (2) year calendar period, not to exceed thirty (30) PDH’s carried forward to the next two (2) year calendar period. PDH units may be ear</w:t>
      </w:r>
      <w:r>
        <w:rPr>
          <w:w w:val="100"/>
        </w:rPr>
        <w:t xml:space="preserve">ned in the following </w:t>
      </w:r>
      <w:proofErr w:type="gramStart"/>
      <w:r>
        <w:rPr>
          <w:w w:val="100"/>
        </w:rPr>
        <w:t>activities,</w:t>
      </w:r>
      <w:proofErr w:type="gramEnd"/>
      <w:r>
        <w:rPr>
          <w:w w:val="100"/>
        </w:rPr>
        <w:t xml:space="preserve"> however, PDH units must come from two (2) or more activities.</w:t>
      </w:r>
      <w:r>
        <w:rPr>
          <w:w w:val="100"/>
        </w:rPr>
        <w:tab/>
      </w:r>
      <w:r>
        <w:rPr>
          <w:w w:val="100"/>
        </w:rPr>
        <w:t>(3-29-12)</w:t>
      </w:r>
    </w:p>
    <w:p w:rsidR="00000000" w:rsidRDefault="00EC264E">
      <w:pPr>
        <w:pStyle w:val="Body"/>
        <w:rPr>
          <w:w w:val="100"/>
        </w:rPr>
      </w:pPr>
    </w:p>
    <w:p w:rsidR="00000000" w:rsidRDefault="00EC264E">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Requirements: Successful Completion of College Credits</w:instrText>
      </w:r>
      <w:r>
        <w:rPr>
          <w:rStyle w:val="Bold"/>
        </w:rPr>
        <w:instrText>"</w:instrText>
      </w:r>
      <w:r>
        <w:rPr>
          <w:rStyle w:val="Bold"/>
        </w:rPr>
        <w:fldChar w:fldCharType="end"/>
      </w:r>
      <w:r>
        <w:rPr>
          <w:rStyle w:val="Bold"/>
        </w:rPr>
        <w:t>Successful Completion of College Credits</w:t>
      </w:r>
      <w:r>
        <w:rPr>
          <w:w w:val="100"/>
        </w:rPr>
        <w:t>.</w:t>
      </w:r>
      <w:r>
        <w:rPr>
          <w:w w:val="100"/>
        </w:rPr>
        <w:tab/>
        <w:t>(7-1-99)</w:t>
      </w:r>
    </w:p>
    <w:p w:rsidR="00000000" w:rsidRDefault="00EC264E">
      <w:pPr>
        <w:pStyle w:val="Body"/>
        <w:rPr>
          <w:w w:val="100"/>
        </w:rPr>
      </w:pPr>
    </w:p>
    <w:p w:rsidR="00000000" w:rsidRDefault="00EC264E">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Requirements: Success</w:instrText>
      </w:r>
      <w:r>
        <w:rPr>
          <w:rStyle w:val="Bold"/>
        </w:rPr>
        <w:instrText>ful Completion of Continuing Education Units</w:instrText>
      </w:r>
      <w:r>
        <w:rPr>
          <w:rStyle w:val="Bold"/>
        </w:rPr>
        <w:instrText>"</w:instrText>
      </w:r>
      <w:r>
        <w:rPr>
          <w:rStyle w:val="Bold"/>
        </w:rPr>
        <w:fldChar w:fldCharType="end"/>
      </w:r>
      <w:r>
        <w:rPr>
          <w:rStyle w:val="Bold"/>
        </w:rPr>
        <w:t>Successful Completion of Continuing Education Units</w:t>
      </w:r>
      <w:r>
        <w:rPr>
          <w:w w:val="100"/>
        </w:rPr>
        <w:t>.</w:t>
      </w:r>
      <w:r>
        <w:rPr>
          <w:w w:val="100"/>
        </w:rPr>
        <w:tab/>
        <w:t>(7-1-99)</w:t>
      </w:r>
    </w:p>
    <w:p w:rsidR="00000000" w:rsidRDefault="00EC264E">
      <w:pPr>
        <w:pStyle w:val="Body"/>
        <w:rPr>
          <w:w w:val="100"/>
        </w:rPr>
      </w:pPr>
    </w:p>
    <w:p w:rsidR="00000000" w:rsidRDefault="00EC264E">
      <w:pPr>
        <w:pStyle w:val="Body"/>
        <w:rPr>
          <w:w w:val="100"/>
        </w:rPr>
      </w:pPr>
      <w:r>
        <w:rPr>
          <w:w w:val="100"/>
        </w:rPr>
        <w:tab/>
      </w:r>
      <w:r>
        <w:rPr>
          <w:rStyle w:val="Bold"/>
        </w:rPr>
        <w:t>03.</w:t>
      </w:r>
      <w:r>
        <w:rPr>
          <w:rStyle w:val="Bold"/>
        </w:rPr>
        <w:tab/>
      </w:r>
      <w:r>
        <w:rPr>
          <w:rStyle w:val="Bold"/>
        </w:rPr>
        <w:fldChar w:fldCharType="begin"/>
      </w:r>
      <w:r>
        <w:rPr>
          <w:rStyle w:val="Bold"/>
        </w:rPr>
        <w:instrText>xe "</w:instrText>
      </w:r>
      <w:r>
        <w:rPr>
          <w:rStyle w:val="Bold"/>
        </w:rPr>
        <w:instrText>Requirements: Successful Completion of Other Courses</w:instrText>
      </w:r>
      <w:r>
        <w:rPr>
          <w:rStyle w:val="Bold"/>
        </w:rPr>
        <w:instrText>"</w:instrText>
      </w:r>
      <w:r>
        <w:rPr>
          <w:rStyle w:val="Bold"/>
        </w:rPr>
        <w:fldChar w:fldCharType="end"/>
      </w:r>
      <w:r>
        <w:rPr>
          <w:rStyle w:val="Bold"/>
        </w:rPr>
        <w:t>Successful Completion of Other Courses</w:t>
      </w:r>
      <w:r>
        <w:rPr>
          <w:w w:val="100"/>
        </w:rPr>
        <w:t>. Correspondence, televised, videotaped, and</w:t>
      </w:r>
      <w:r>
        <w:rPr>
          <w:w w:val="100"/>
        </w:rPr>
        <w:t xml:space="preserve"> other short courses/tutorials for which college credits or CEUs are awarded.</w:t>
      </w:r>
      <w:r>
        <w:rPr>
          <w:w w:val="100"/>
        </w:rPr>
        <w:tab/>
      </w:r>
      <w:r>
        <w:rPr>
          <w:w w:val="100"/>
        </w:rPr>
        <w:t>(7-1-99)</w:t>
      </w:r>
    </w:p>
    <w:p w:rsidR="00000000" w:rsidRDefault="00EC264E">
      <w:pPr>
        <w:pStyle w:val="Body"/>
        <w:rPr>
          <w:w w:val="100"/>
        </w:rPr>
      </w:pPr>
    </w:p>
    <w:p w:rsidR="00000000" w:rsidRDefault="00EC264E">
      <w:pPr>
        <w:pStyle w:val="Body"/>
        <w:rPr>
          <w:w w:val="100"/>
        </w:rPr>
      </w:pPr>
      <w:r>
        <w:rPr>
          <w:w w:val="100"/>
        </w:rPr>
        <w:tab/>
      </w:r>
      <w:r>
        <w:rPr>
          <w:rStyle w:val="Bold"/>
        </w:rPr>
        <w:t>04.</w:t>
      </w:r>
      <w:r>
        <w:rPr>
          <w:rStyle w:val="Bold"/>
        </w:rPr>
        <w:tab/>
      </w:r>
      <w:r>
        <w:rPr>
          <w:rStyle w:val="Bold"/>
        </w:rPr>
        <w:fldChar w:fldCharType="begin"/>
      </w:r>
      <w:r>
        <w:rPr>
          <w:rStyle w:val="Bold"/>
        </w:rPr>
        <w:instrText>xe "</w:instrText>
      </w:r>
      <w:r>
        <w:rPr>
          <w:rStyle w:val="Bold"/>
        </w:rPr>
        <w:instrText>Requirements: Attending Qualifying Seminars</w:instrText>
      </w:r>
      <w:r>
        <w:rPr>
          <w:rStyle w:val="Bold"/>
        </w:rPr>
        <w:instrText>"</w:instrText>
      </w:r>
      <w:r>
        <w:rPr>
          <w:rStyle w:val="Bold"/>
        </w:rPr>
        <w:fldChar w:fldCharType="end"/>
      </w:r>
      <w:r>
        <w:rPr>
          <w:rStyle w:val="Bold"/>
        </w:rPr>
        <w:t>Attending Qualifying Seminars</w:t>
      </w:r>
      <w:r>
        <w:rPr>
          <w:w w:val="100"/>
        </w:rPr>
        <w:t xml:space="preserve">. Attending qualifying seminars, </w:t>
      </w:r>
      <w:proofErr w:type="spellStart"/>
      <w:r>
        <w:rPr>
          <w:w w:val="100"/>
        </w:rPr>
        <w:t>inhouse</w:t>
      </w:r>
      <w:proofErr w:type="spellEnd"/>
      <w:r>
        <w:rPr>
          <w:w w:val="100"/>
        </w:rPr>
        <w:t xml:space="preserve"> courses, workshops, or technical or profe</w:t>
      </w:r>
      <w:r>
        <w:rPr>
          <w:w w:val="100"/>
        </w:rPr>
        <w:t>ssional presentations made at meetings, conventions, or conferences.</w:t>
      </w:r>
      <w:r>
        <w:rPr>
          <w:w w:val="100"/>
        </w:rPr>
        <w:tab/>
      </w:r>
      <w:r>
        <w:rPr>
          <w:w w:val="100"/>
        </w:rPr>
        <w:t>(7-1-99)</w:t>
      </w:r>
    </w:p>
    <w:p w:rsidR="00000000" w:rsidRDefault="00EC264E">
      <w:pPr>
        <w:pStyle w:val="Body"/>
        <w:rPr>
          <w:w w:val="100"/>
        </w:rPr>
      </w:pPr>
    </w:p>
    <w:p w:rsidR="00000000" w:rsidRDefault="00EC264E">
      <w:pPr>
        <w:pStyle w:val="Body"/>
        <w:rPr>
          <w:w w:val="100"/>
        </w:rPr>
      </w:pPr>
      <w:r>
        <w:rPr>
          <w:w w:val="100"/>
        </w:rPr>
        <w:tab/>
      </w:r>
      <w:r>
        <w:rPr>
          <w:rStyle w:val="Bold"/>
        </w:rPr>
        <w:t>05.</w:t>
      </w:r>
      <w:r>
        <w:rPr>
          <w:rStyle w:val="Bold"/>
        </w:rPr>
        <w:tab/>
      </w:r>
      <w:r>
        <w:rPr>
          <w:rStyle w:val="Bold"/>
        </w:rPr>
        <w:fldChar w:fldCharType="begin"/>
      </w:r>
      <w:r>
        <w:rPr>
          <w:rStyle w:val="Bold"/>
        </w:rPr>
        <w:instrText>xe "</w:instrText>
      </w:r>
      <w:r>
        <w:rPr>
          <w:rStyle w:val="Bold"/>
        </w:rPr>
        <w:instrText>Requirements: Teaching or Instructing</w:instrText>
      </w:r>
      <w:r>
        <w:rPr>
          <w:rStyle w:val="Bold"/>
        </w:rPr>
        <w:instrText>"</w:instrText>
      </w:r>
      <w:r>
        <w:rPr>
          <w:rStyle w:val="Bold"/>
        </w:rPr>
        <w:fldChar w:fldCharType="end"/>
      </w:r>
      <w:r>
        <w:rPr>
          <w:rStyle w:val="Bold"/>
        </w:rPr>
        <w:t>Teaching or Instructing</w:t>
      </w:r>
      <w:r>
        <w:rPr>
          <w:w w:val="100"/>
        </w:rPr>
        <w:t>. Teaching or instructing in Subsections 005.01 through 005.04 above, above and beyond routine job assi</w:t>
      </w:r>
      <w:r>
        <w:rPr>
          <w:w w:val="100"/>
        </w:rPr>
        <w:t>gnments.</w:t>
      </w:r>
      <w:r>
        <w:rPr>
          <w:w w:val="100"/>
        </w:rPr>
        <w:tab/>
      </w:r>
      <w:r>
        <w:rPr>
          <w:w w:val="100"/>
        </w:rPr>
        <w:t>(7-1-99)</w:t>
      </w:r>
    </w:p>
    <w:p w:rsidR="00000000" w:rsidRDefault="00EC264E">
      <w:pPr>
        <w:pStyle w:val="Body"/>
        <w:rPr>
          <w:w w:val="100"/>
        </w:rPr>
      </w:pPr>
    </w:p>
    <w:p w:rsidR="00000000" w:rsidRDefault="00EC264E">
      <w:pPr>
        <w:pStyle w:val="Body"/>
        <w:rPr>
          <w:w w:val="100"/>
        </w:rPr>
      </w:pPr>
      <w:r>
        <w:rPr>
          <w:w w:val="100"/>
        </w:rPr>
        <w:tab/>
      </w:r>
      <w:r>
        <w:rPr>
          <w:rStyle w:val="Bold"/>
        </w:rPr>
        <w:t>06.</w:t>
      </w:r>
      <w:r>
        <w:rPr>
          <w:rStyle w:val="Bold"/>
        </w:rPr>
        <w:tab/>
      </w:r>
      <w:r>
        <w:rPr>
          <w:rStyle w:val="Bold"/>
        </w:rPr>
        <w:fldChar w:fldCharType="begin"/>
      </w:r>
      <w:r>
        <w:rPr>
          <w:rStyle w:val="Bold"/>
        </w:rPr>
        <w:instrText>xe "</w:instrText>
      </w:r>
      <w:r>
        <w:rPr>
          <w:rStyle w:val="Bold"/>
        </w:rPr>
        <w:instrText>Requirements: Authoring Published Papers, Articles, or Books</w:instrText>
      </w:r>
      <w:r>
        <w:rPr>
          <w:rStyle w:val="Bold"/>
        </w:rPr>
        <w:instrText>"</w:instrText>
      </w:r>
      <w:r>
        <w:rPr>
          <w:rStyle w:val="Bold"/>
        </w:rPr>
        <w:fldChar w:fldCharType="end"/>
      </w:r>
      <w:r>
        <w:rPr>
          <w:rStyle w:val="Bold"/>
        </w:rPr>
        <w:t>Authoring Published Papers, Articles, or Books</w:t>
      </w:r>
      <w:r>
        <w:rPr>
          <w:w w:val="100"/>
        </w:rPr>
        <w:t>.</w:t>
      </w:r>
      <w:r>
        <w:rPr>
          <w:w w:val="100"/>
        </w:rPr>
        <w:tab/>
        <w:t>(7-1-99)</w:t>
      </w:r>
    </w:p>
    <w:p w:rsidR="00000000" w:rsidRDefault="00EC264E">
      <w:pPr>
        <w:pStyle w:val="Body"/>
        <w:rPr>
          <w:w w:val="100"/>
        </w:rPr>
      </w:pPr>
    </w:p>
    <w:p w:rsidR="00000000" w:rsidRDefault="00EC264E">
      <w:pPr>
        <w:pStyle w:val="Body"/>
        <w:rPr>
          <w:w w:val="100"/>
        </w:rPr>
      </w:pPr>
      <w:r>
        <w:rPr>
          <w:w w:val="100"/>
        </w:rPr>
        <w:tab/>
      </w:r>
      <w:r>
        <w:rPr>
          <w:rStyle w:val="Bold"/>
        </w:rPr>
        <w:t>07.</w:t>
      </w:r>
      <w:r>
        <w:rPr>
          <w:rStyle w:val="Bold"/>
        </w:rPr>
        <w:tab/>
      </w:r>
      <w:r>
        <w:rPr>
          <w:rStyle w:val="Bold"/>
        </w:rPr>
        <w:fldChar w:fldCharType="begin"/>
      </w:r>
      <w:r>
        <w:rPr>
          <w:rStyle w:val="Bold"/>
        </w:rPr>
        <w:instrText>xe "</w:instrText>
      </w:r>
      <w:r>
        <w:rPr>
          <w:rStyle w:val="Bold"/>
        </w:rPr>
        <w:instrText>Requirements: Membership in Technical or Professional Organizations</w:instrText>
      </w:r>
      <w:r>
        <w:rPr>
          <w:rStyle w:val="Bold"/>
        </w:rPr>
        <w:instrText>"</w:instrText>
      </w:r>
      <w:r>
        <w:rPr>
          <w:rStyle w:val="Bold"/>
        </w:rPr>
        <w:fldChar w:fldCharType="end"/>
      </w:r>
      <w:r>
        <w:rPr>
          <w:rStyle w:val="Bold"/>
        </w:rPr>
        <w:t>Membership in Technical or Professional Organizations</w:t>
      </w:r>
      <w:r>
        <w:rPr>
          <w:w w:val="100"/>
        </w:rPr>
        <w:t>.</w:t>
      </w:r>
      <w:r>
        <w:rPr>
          <w:w w:val="100"/>
        </w:rPr>
        <w:tab/>
        <w:t>(7-1-99)</w:t>
      </w:r>
    </w:p>
    <w:p w:rsidR="00000000" w:rsidRDefault="00EC264E">
      <w:pPr>
        <w:pStyle w:val="Body"/>
        <w:rPr>
          <w:w w:val="100"/>
        </w:rPr>
      </w:pPr>
    </w:p>
    <w:p w:rsidR="00000000" w:rsidRDefault="00EC264E">
      <w:pPr>
        <w:pStyle w:val="Body"/>
        <w:rPr>
          <w:w w:val="100"/>
        </w:rPr>
      </w:pPr>
      <w:r>
        <w:rPr>
          <w:w w:val="100"/>
        </w:rPr>
        <w:tab/>
      </w:r>
      <w:r>
        <w:rPr>
          <w:rStyle w:val="Bold"/>
        </w:rPr>
        <w:t>08.</w:t>
      </w:r>
      <w:r>
        <w:rPr>
          <w:rStyle w:val="Bold"/>
        </w:rPr>
        <w:tab/>
      </w:r>
      <w:r>
        <w:rPr>
          <w:rStyle w:val="Bold"/>
        </w:rPr>
        <w:fldChar w:fldCharType="begin"/>
      </w:r>
      <w:r>
        <w:rPr>
          <w:rStyle w:val="Bold"/>
        </w:rPr>
        <w:instrText>xe "</w:instrText>
      </w:r>
      <w:r>
        <w:rPr>
          <w:rStyle w:val="Bold"/>
        </w:rPr>
        <w:instrText>Requirements: Active Participation in Technical or Professional Organizations</w:instrText>
      </w:r>
      <w:r>
        <w:rPr>
          <w:rStyle w:val="Bold"/>
        </w:rPr>
        <w:instrText>"</w:instrText>
      </w:r>
      <w:r>
        <w:rPr>
          <w:rStyle w:val="Bold"/>
        </w:rPr>
        <w:fldChar w:fldCharType="end"/>
      </w:r>
      <w:r>
        <w:rPr>
          <w:rStyle w:val="Bold"/>
        </w:rPr>
        <w:t>Active Participation in Technical or Professional Organizations</w:t>
      </w:r>
      <w:r>
        <w:rPr>
          <w:w w:val="100"/>
        </w:rPr>
        <w:t>.</w:t>
      </w:r>
      <w:r>
        <w:rPr>
          <w:w w:val="100"/>
        </w:rPr>
        <w:tab/>
        <w:t>(7-1-99)</w:t>
      </w:r>
    </w:p>
    <w:p w:rsidR="00000000" w:rsidRDefault="00EC264E">
      <w:pPr>
        <w:pStyle w:val="Body"/>
        <w:rPr>
          <w:w w:val="100"/>
        </w:rPr>
      </w:pPr>
    </w:p>
    <w:p w:rsidR="00000000" w:rsidRDefault="00EC264E">
      <w:pPr>
        <w:pStyle w:val="Body"/>
        <w:rPr>
          <w:w w:val="100"/>
        </w:rPr>
      </w:pPr>
      <w:r>
        <w:rPr>
          <w:w w:val="100"/>
        </w:rPr>
        <w:tab/>
      </w:r>
      <w:r>
        <w:rPr>
          <w:rStyle w:val="Bold"/>
        </w:rPr>
        <w:t>09.</w:t>
      </w:r>
      <w:r>
        <w:rPr>
          <w:rStyle w:val="Bold"/>
        </w:rPr>
        <w:tab/>
      </w:r>
      <w:r>
        <w:rPr>
          <w:rStyle w:val="Bold"/>
        </w:rPr>
        <w:fldChar w:fldCharType="begin"/>
      </w:r>
      <w:r>
        <w:rPr>
          <w:rStyle w:val="Bold"/>
        </w:rPr>
        <w:instrText>xe "</w:instrText>
      </w:r>
      <w:r>
        <w:rPr>
          <w:rStyle w:val="Bold"/>
        </w:rPr>
        <w:instrText>Requirements: Pate</w:instrText>
      </w:r>
      <w:r>
        <w:rPr>
          <w:rStyle w:val="Bold"/>
        </w:rPr>
        <w:instrText>nts</w:instrText>
      </w:r>
      <w:r>
        <w:rPr>
          <w:rStyle w:val="Bold"/>
        </w:rPr>
        <w:instrText>"</w:instrText>
      </w:r>
      <w:r>
        <w:rPr>
          <w:rStyle w:val="Bold"/>
        </w:rPr>
        <w:fldChar w:fldCharType="end"/>
      </w:r>
      <w:r>
        <w:rPr>
          <w:rStyle w:val="Bold"/>
        </w:rPr>
        <w:t>Patents</w:t>
      </w:r>
      <w:r>
        <w:rPr>
          <w:w w:val="100"/>
        </w:rPr>
        <w:t>.</w:t>
      </w:r>
      <w:r>
        <w:rPr>
          <w:w w:val="100"/>
        </w:rPr>
        <w:tab/>
        <w:t>(7-1-99)</w:t>
      </w:r>
    </w:p>
    <w:p w:rsidR="00000000" w:rsidRDefault="00EC264E">
      <w:pPr>
        <w:pStyle w:val="Body"/>
        <w:rPr>
          <w:w w:val="100"/>
        </w:rPr>
      </w:pPr>
    </w:p>
    <w:p w:rsidR="00000000" w:rsidRDefault="00EC264E">
      <w:pPr>
        <w:pStyle w:val="Body"/>
        <w:rPr>
          <w:w w:val="100"/>
        </w:rPr>
      </w:pPr>
      <w:r>
        <w:rPr>
          <w:w w:val="100"/>
        </w:rPr>
        <w:tab/>
      </w:r>
      <w:r>
        <w:rPr>
          <w:rStyle w:val="Bold"/>
        </w:rPr>
        <w:t>10.</w:t>
      </w:r>
      <w:r>
        <w:rPr>
          <w:rStyle w:val="Bold"/>
        </w:rPr>
        <w:tab/>
      </w:r>
      <w:r>
        <w:rPr>
          <w:rStyle w:val="Bold"/>
        </w:rPr>
        <w:fldChar w:fldCharType="begin"/>
      </w:r>
      <w:r>
        <w:rPr>
          <w:rStyle w:val="Bold"/>
        </w:rPr>
        <w:instrText>xe "</w:instrText>
      </w:r>
      <w:r>
        <w:rPr>
          <w:rStyle w:val="Bold"/>
        </w:rPr>
        <w:instrText>Requirements: Presentations to Technical, Professional or Civic Organizations</w:instrText>
      </w:r>
      <w:r>
        <w:rPr>
          <w:rStyle w:val="Bold"/>
        </w:rPr>
        <w:instrText>"</w:instrText>
      </w:r>
      <w:r>
        <w:rPr>
          <w:rStyle w:val="Bold"/>
        </w:rPr>
        <w:fldChar w:fldCharType="end"/>
      </w:r>
      <w:r>
        <w:rPr>
          <w:rStyle w:val="Bold"/>
        </w:rPr>
        <w:t>Presentations to Technical, Professional or Civic Organizations</w:t>
      </w:r>
      <w:r>
        <w:rPr>
          <w:w w:val="100"/>
        </w:rPr>
        <w:t>.</w:t>
      </w:r>
      <w:r>
        <w:rPr>
          <w:w w:val="100"/>
        </w:rPr>
        <w:tab/>
        <w:t>(7-1-99)</w:t>
      </w:r>
    </w:p>
    <w:p w:rsidR="00000000" w:rsidRDefault="00EC264E">
      <w:pPr>
        <w:pStyle w:val="Body"/>
        <w:rPr>
          <w:w w:val="100"/>
        </w:rPr>
      </w:pPr>
    </w:p>
    <w:p w:rsidR="00000000" w:rsidRDefault="00EC264E">
      <w:pPr>
        <w:pStyle w:val="Body"/>
        <w:rPr>
          <w:w w:val="100"/>
        </w:rPr>
      </w:pPr>
      <w:r>
        <w:rPr>
          <w:w w:val="100"/>
        </w:rPr>
        <w:tab/>
      </w:r>
      <w:r>
        <w:rPr>
          <w:rStyle w:val="Bold"/>
        </w:rPr>
        <w:t>11.</w:t>
      </w:r>
      <w:r>
        <w:rPr>
          <w:rStyle w:val="Bold"/>
        </w:rPr>
        <w:tab/>
      </w:r>
      <w:r>
        <w:rPr>
          <w:rStyle w:val="Bold"/>
        </w:rPr>
        <w:fldChar w:fldCharType="begin"/>
      </w:r>
      <w:r>
        <w:rPr>
          <w:rStyle w:val="Bold"/>
        </w:rPr>
        <w:instrText>xe "</w:instrText>
      </w:r>
      <w:r>
        <w:rPr>
          <w:rStyle w:val="Bold"/>
        </w:rPr>
        <w:instrText>Requirements: Documented Self Study</w:instrText>
      </w:r>
      <w:r>
        <w:rPr>
          <w:rStyle w:val="Bold"/>
        </w:rPr>
        <w:instrText>"</w:instrText>
      </w:r>
      <w:r>
        <w:rPr>
          <w:rStyle w:val="Bold"/>
        </w:rPr>
        <w:fldChar w:fldCharType="end"/>
      </w:r>
      <w:r>
        <w:rPr>
          <w:rStyle w:val="Bold"/>
        </w:rPr>
        <w:t>Documented Self Stud</w:t>
      </w:r>
      <w:r>
        <w:rPr>
          <w:rStyle w:val="Bold"/>
        </w:rPr>
        <w:t>y</w:t>
      </w:r>
      <w:r>
        <w:rPr>
          <w:w w:val="100"/>
        </w:rPr>
        <w:t>.</w:t>
      </w:r>
      <w:r>
        <w:rPr>
          <w:w w:val="100"/>
        </w:rPr>
        <w:tab/>
        <w:t>(5-8-09)</w:t>
      </w:r>
    </w:p>
    <w:p w:rsidR="00000000" w:rsidRDefault="00EC264E">
      <w:pPr>
        <w:pStyle w:val="Body"/>
        <w:rPr>
          <w:w w:val="100"/>
        </w:rPr>
      </w:pPr>
    </w:p>
    <w:p w:rsidR="00000000" w:rsidRDefault="00EC264E">
      <w:pPr>
        <w:pStyle w:val="SectionNameTOC"/>
        <w:rPr>
          <w:w w:val="100"/>
        </w:rPr>
      </w:pPr>
      <w:r>
        <w:rPr>
          <w:w w:val="100"/>
        </w:rPr>
        <w:t>006.</w:t>
      </w:r>
      <w:r>
        <w:rPr>
          <w:w w:val="100"/>
        </w:rPr>
        <w:tab/>
      </w:r>
      <w:r>
        <w:rPr>
          <w:w w:val="100"/>
        </w:rPr>
        <w:fldChar w:fldCharType="begin"/>
      </w:r>
      <w:r>
        <w:rPr>
          <w:w w:val="100"/>
        </w:rPr>
        <w:instrText>xe "</w:instrText>
      </w:r>
      <w:r>
        <w:rPr>
          <w:w w:val="100"/>
        </w:rPr>
        <w:instrText>Units</w:instrText>
      </w:r>
      <w:r>
        <w:rPr>
          <w:w w:val="100"/>
        </w:rPr>
        <w:instrText>"</w:instrText>
      </w:r>
      <w:r>
        <w:rPr>
          <w:w w:val="100"/>
        </w:rPr>
        <w:fldChar w:fldCharType="end"/>
      </w:r>
      <w:r>
        <w:rPr>
          <w:w w:val="100"/>
        </w:rPr>
        <w:t>Units.</w:t>
      </w:r>
    </w:p>
    <w:p w:rsidR="00000000" w:rsidRDefault="00EC264E">
      <w:pPr>
        <w:pStyle w:val="Body"/>
        <w:rPr>
          <w:w w:val="100"/>
        </w:rPr>
      </w:pPr>
      <w:r>
        <w:rPr>
          <w:w w:val="100"/>
        </w:rPr>
        <w:t>The conversion of other units of credit to PDH (Professional Development Hour) units is as follows:</w:t>
      </w:r>
    </w:p>
    <w:p w:rsidR="00EC264E" w:rsidRDefault="00EC264E">
      <w:pPr>
        <w:pStyle w:val="Body"/>
        <w:rPr>
          <w:w w:val="100"/>
        </w:rPr>
      </w:pPr>
    </w:p>
    <w:tbl>
      <w:tblPr>
        <w:tblW w:w="0" w:type="auto"/>
        <w:jc w:val="center"/>
        <w:tblLayout w:type="fixed"/>
        <w:tblCellMar>
          <w:top w:w="80" w:type="dxa"/>
          <w:left w:w="60" w:type="dxa"/>
          <w:bottom w:w="60" w:type="dxa"/>
          <w:right w:w="60" w:type="dxa"/>
        </w:tblCellMar>
        <w:tblLook w:val="0000" w:firstRow="0" w:lastRow="0" w:firstColumn="0" w:lastColumn="0" w:noHBand="0" w:noVBand="0"/>
      </w:tblPr>
      <w:tblGrid>
        <w:gridCol w:w="7300"/>
        <w:gridCol w:w="2060"/>
      </w:tblGrid>
      <w:tr w:rsidR="00000000">
        <w:trPr>
          <w:trHeight w:val="320"/>
          <w:jc w:val="center"/>
        </w:trPr>
        <w:tc>
          <w:tcPr>
            <w:tcW w:w="7300" w:type="dxa"/>
            <w:tcBorders>
              <w:top w:val="single" w:sz="4" w:space="0" w:color="000000"/>
              <w:left w:val="single" w:sz="4" w:space="0" w:color="000000"/>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lastRenderedPageBreak/>
              <w:t>1 College semester credit hour equals</w:t>
            </w:r>
          </w:p>
        </w:tc>
        <w:tc>
          <w:tcPr>
            <w:tcW w:w="2060" w:type="dxa"/>
            <w:tcBorders>
              <w:top w:val="single" w:sz="4" w:space="0" w:color="000000"/>
              <w:left w:val="nil"/>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45 PDH</w:t>
            </w:r>
          </w:p>
        </w:tc>
      </w:tr>
      <w:tr w:rsidR="00000000">
        <w:trPr>
          <w:trHeight w:val="320"/>
          <w:jc w:val="center"/>
        </w:trPr>
        <w:tc>
          <w:tcPr>
            <w:tcW w:w="7300" w:type="dxa"/>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1 College quarter credit hour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30 PDH</w:t>
            </w:r>
          </w:p>
        </w:tc>
      </w:tr>
      <w:tr w:rsidR="00000000">
        <w:trPr>
          <w:trHeight w:val="320"/>
          <w:jc w:val="center"/>
        </w:trPr>
        <w:tc>
          <w:tcPr>
            <w:tcW w:w="7300" w:type="dxa"/>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1 Continuing Education Unit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10 PDH</w:t>
            </w:r>
          </w:p>
        </w:tc>
      </w:tr>
      <w:tr w:rsidR="00000000">
        <w:trPr>
          <w:trHeight w:val="540"/>
          <w:jc w:val="center"/>
        </w:trPr>
        <w:tc>
          <w:tcPr>
            <w:tcW w:w="7300" w:type="dxa"/>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 xml:space="preserve">1 Hour of attendance in course work, seminars, or technical or professional </w:t>
            </w:r>
            <w:r>
              <w:rPr>
                <w:w w:val="100"/>
              </w:rPr>
              <w:br/>
              <w:t>presentations made at meetings, conventions, or conferences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1 PDH</w:t>
            </w:r>
          </w:p>
        </w:tc>
      </w:tr>
      <w:tr w:rsidR="00000000">
        <w:trPr>
          <w:trHeight w:val="320"/>
          <w:jc w:val="center"/>
        </w:trPr>
        <w:tc>
          <w:tcPr>
            <w:tcW w:w="9360" w:type="dxa"/>
            <w:gridSpan w:val="2"/>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Teaching the above, above and beyond normal job assignments, apply multiple of 2 for teaching the first time only</w:t>
            </w:r>
          </w:p>
        </w:tc>
      </w:tr>
      <w:tr w:rsidR="00000000">
        <w:trPr>
          <w:trHeight w:val="540"/>
          <w:jc w:val="center"/>
        </w:trPr>
        <w:tc>
          <w:tcPr>
            <w:tcW w:w="7300" w:type="dxa"/>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 xml:space="preserve">Each published technical or professional paper, article, or book chapter not to exceed </w:t>
            </w:r>
            <w:r>
              <w:rPr>
                <w:w w:val="100"/>
              </w:rPr>
              <w:br/>
              <w:t>a total of 10 PDH’</w:t>
            </w:r>
            <w:r>
              <w:rPr>
                <w:w w:val="100"/>
              </w:rPr>
              <w:t>s per year, above and beyond normal job assignments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5 PDH per paper, art</w:t>
            </w:r>
            <w:r>
              <w:rPr>
                <w:w w:val="100"/>
              </w:rPr>
              <w:t>i</w:t>
            </w:r>
            <w:r>
              <w:rPr>
                <w:w w:val="100"/>
              </w:rPr>
              <w:t>cle, or book chapter</w:t>
            </w:r>
          </w:p>
        </w:tc>
      </w:tr>
      <w:tr w:rsidR="00000000">
        <w:trPr>
          <w:trHeight w:val="540"/>
          <w:jc w:val="center"/>
        </w:trPr>
        <w:tc>
          <w:tcPr>
            <w:tcW w:w="7300" w:type="dxa"/>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 xml:space="preserve">Each peer review of a published technical or professional paper, article, or book chapter not to exceed a total of 6 PDH’s per year, above and beyond normal job </w:t>
            </w:r>
            <w:r>
              <w:rPr>
                <w:w w:val="100"/>
              </w:rPr>
              <w:t>assignments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3 PDH per paper, art</w:t>
            </w:r>
            <w:r>
              <w:rPr>
                <w:w w:val="100"/>
              </w:rPr>
              <w:t>i</w:t>
            </w:r>
            <w:r>
              <w:rPr>
                <w:w w:val="100"/>
              </w:rPr>
              <w:t>cle, or book chapter</w:t>
            </w:r>
          </w:p>
        </w:tc>
      </w:tr>
      <w:tr w:rsidR="00000000">
        <w:trPr>
          <w:trHeight w:val="540"/>
          <w:jc w:val="center"/>
        </w:trPr>
        <w:tc>
          <w:tcPr>
            <w:tcW w:w="7300" w:type="dxa"/>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 xml:space="preserve">Membership in technical or professional organizations (Maximum of </w:t>
            </w:r>
            <w:r>
              <w:rPr>
                <w:w w:val="100"/>
              </w:rPr>
              <w:br/>
              <w:t>two organizations)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 xml:space="preserve">1 PDH per year </w:t>
            </w:r>
            <w:r>
              <w:rPr>
                <w:w w:val="100"/>
              </w:rPr>
              <w:br/>
              <w:t>per organization</w:t>
            </w:r>
          </w:p>
        </w:tc>
      </w:tr>
      <w:tr w:rsidR="00000000">
        <w:trPr>
          <w:trHeight w:val="540"/>
          <w:jc w:val="center"/>
        </w:trPr>
        <w:tc>
          <w:tcPr>
            <w:tcW w:w="7300" w:type="dxa"/>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Active participation in technical or professional organizations (Maximum o</w:t>
            </w:r>
            <w:r>
              <w:rPr>
                <w:w w:val="100"/>
              </w:rPr>
              <w:t>f</w:t>
            </w:r>
            <w:r>
              <w:rPr>
                <w:w w:val="100"/>
              </w:rPr>
              <w:br/>
              <w:t>two organizations)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 xml:space="preserve">1 PDH per year </w:t>
            </w:r>
            <w:r>
              <w:rPr>
                <w:w w:val="100"/>
              </w:rPr>
              <w:br/>
              <w:t>per organization</w:t>
            </w:r>
          </w:p>
        </w:tc>
      </w:tr>
      <w:tr w:rsidR="00000000">
        <w:trPr>
          <w:trHeight w:val="320"/>
          <w:jc w:val="center"/>
        </w:trPr>
        <w:tc>
          <w:tcPr>
            <w:tcW w:w="7300" w:type="dxa"/>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Each patent 5 PDH’s, not to exceed per year</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 xml:space="preserve">5 PDH </w:t>
            </w:r>
          </w:p>
        </w:tc>
      </w:tr>
      <w:tr w:rsidR="00000000">
        <w:trPr>
          <w:trHeight w:val="540"/>
          <w:jc w:val="center"/>
        </w:trPr>
        <w:tc>
          <w:tcPr>
            <w:tcW w:w="7300" w:type="dxa"/>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 xml:space="preserve">Presentations to technical, professional, or civic organizations, </w:t>
            </w:r>
            <w:r>
              <w:rPr>
                <w:w w:val="100"/>
              </w:rPr>
              <w:br/>
              <w:t>first presentation only, equals</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rPr>
                <w:w w:val="100"/>
              </w:rPr>
            </w:pPr>
            <w:r>
              <w:rPr>
                <w:w w:val="100"/>
              </w:rPr>
              <w:t xml:space="preserve">2 PDH per hour </w:t>
            </w:r>
          </w:p>
          <w:p w:rsidR="00000000" w:rsidRDefault="00EC264E">
            <w:pPr>
              <w:pStyle w:val="CellBody-9pt"/>
            </w:pPr>
            <w:r>
              <w:rPr>
                <w:w w:val="100"/>
              </w:rPr>
              <w:t>of presentation</w:t>
            </w:r>
          </w:p>
        </w:tc>
      </w:tr>
      <w:tr w:rsidR="00000000">
        <w:trPr>
          <w:trHeight w:val="760"/>
          <w:jc w:val="center"/>
        </w:trPr>
        <w:tc>
          <w:tcPr>
            <w:tcW w:w="7300" w:type="dxa"/>
            <w:tcBorders>
              <w:top w:val="nil"/>
              <w:left w:val="single" w:sz="4" w:space="0" w:color="000000"/>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Documented self-study not to exceed</w:t>
            </w:r>
          </w:p>
        </w:tc>
        <w:tc>
          <w:tcPr>
            <w:tcW w:w="2060" w:type="dxa"/>
            <w:tcBorders>
              <w:top w:val="nil"/>
              <w:left w:val="nil"/>
              <w:bottom w:val="single" w:sz="4" w:space="0" w:color="000000"/>
              <w:right w:val="single" w:sz="4" w:space="0" w:color="000000"/>
            </w:tcBorders>
            <w:tcMar>
              <w:top w:w="80" w:type="dxa"/>
              <w:left w:w="60" w:type="dxa"/>
              <w:bottom w:w="60" w:type="dxa"/>
              <w:right w:w="60" w:type="dxa"/>
            </w:tcMar>
            <w:vAlign w:val="center"/>
          </w:tcPr>
          <w:p w:rsidR="00000000" w:rsidRDefault="00EC264E">
            <w:pPr>
              <w:pStyle w:val="CellBody-9pt"/>
            </w:pPr>
            <w:r>
              <w:rPr>
                <w:w w:val="100"/>
              </w:rPr>
              <w:t>3 PDH per year at the rate of ½ PDH per hour of self-study</w:t>
            </w:r>
          </w:p>
        </w:tc>
      </w:tr>
    </w:tbl>
    <w:p w:rsidR="00000000" w:rsidRDefault="00EC264E">
      <w:pPr>
        <w:pStyle w:val="Body"/>
        <w:rPr>
          <w:w w:val="100"/>
        </w:rPr>
      </w:pPr>
    </w:p>
    <w:p w:rsidR="00000000" w:rsidRDefault="00EC264E">
      <w:pPr>
        <w:pStyle w:val="Body"/>
        <w:rPr>
          <w:w w:val="100"/>
        </w:rPr>
      </w:pPr>
      <w:r>
        <w:rPr>
          <w:w w:val="100"/>
        </w:rPr>
        <w:tab/>
      </w:r>
      <w:r>
        <w:rPr>
          <w:w w:val="100"/>
        </w:rPr>
        <w:tab/>
      </w:r>
      <w:r>
        <w:rPr>
          <w:w w:val="100"/>
        </w:rPr>
        <w:tab/>
      </w:r>
      <w:r>
        <w:rPr>
          <w:w w:val="100"/>
        </w:rPr>
        <w:t>(3-29-12)</w:t>
      </w:r>
    </w:p>
    <w:p w:rsidR="00000000" w:rsidRDefault="00EC264E">
      <w:pPr>
        <w:pStyle w:val="Body"/>
        <w:rPr>
          <w:w w:val="100"/>
        </w:rPr>
      </w:pPr>
    </w:p>
    <w:p w:rsidR="00000000" w:rsidRDefault="00EC264E">
      <w:pPr>
        <w:pStyle w:val="SectionNameTOC"/>
        <w:rPr>
          <w:w w:val="100"/>
        </w:rPr>
      </w:pPr>
      <w:r>
        <w:rPr>
          <w:w w:val="100"/>
        </w:rPr>
        <w:t>007.</w:t>
      </w:r>
      <w:r>
        <w:rPr>
          <w:w w:val="100"/>
        </w:rPr>
        <w:tab/>
      </w:r>
      <w:r>
        <w:rPr>
          <w:w w:val="100"/>
        </w:rPr>
        <w:fldChar w:fldCharType="begin"/>
      </w:r>
      <w:r>
        <w:rPr>
          <w:w w:val="100"/>
        </w:rPr>
        <w:instrText>xe "</w:instrText>
      </w:r>
      <w:r>
        <w:rPr>
          <w:w w:val="100"/>
        </w:rPr>
        <w:instrText>Determination Of Credit</w:instrText>
      </w:r>
      <w:r>
        <w:rPr>
          <w:w w:val="100"/>
        </w:rPr>
        <w:instrText>"</w:instrText>
      </w:r>
      <w:r>
        <w:rPr>
          <w:w w:val="100"/>
        </w:rPr>
        <w:fldChar w:fldCharType="end"/>
      </w:r>
      <w:r>
        <w:rPr>
          <w:w w:val="100"/>
        </w:rPr>
        <w:t>Determination Of Credit.</w:t>
      </w:r>
    </w:p>
    <w:p w:rsidR="00000000" w:rsidRDefault="00EC264E">
      <w:pPr>
        <w:pStyle w:val="Body"/>
        <w:rPr>
          <w:w w:val="100"/>
        </w:rPr>
      </w:pPr>
      <w:r>
        <w:rPr>
          <w:w w:val="100"/>
        </w:rPr>
        <w:t>With the exception of those seminars and courses of continuing professional development offered by an organization registered with the Registered Continuing Education Providers Program of the American Council of Engineering Companies, which are preapproved</w:t>
      </w:r>
      <w:r>
        <w:rPr>
          <w:w w:val="100"/>
        </w:rPr>
        <w:t>, the Board will not pre-approve activities as qualifying for continuing professional development, but has final authority to judge the PDH value for all activities submitted to fulfill continuing professional development requirements.</w:t>
      </w:r>
      <w:r>
        <w:rPr>
          <w:w w:val="100"/>
        </w:rPr>
        <w:tab/>
      </w:r>
      <w:r>
        <w:rPr>
          <w:w w:val="100"/>
        </w:rPr>
        <w:t>(5-8-09)</w:t>
      </w:r>
    </w:p>
    <w:p w:rsidR="00000000" w:rsidRDefault="00EC264E">
      <w:pPr>
        <w:pStyle w:val="Body"/>
        <w:rPr>
          <w:w w:val="100"/>
        </w:rPr>
      </w:pPr>
    </w:p>
    <w:p w:rsidR="00000000" w:rsidRDefault="00EC264E">
      <w:pPr>
        <w:pStyle w:val="SectionNameTOC"/>
        <w:rPr>
          <w:w w:val="100"/>
        </w:rPr>
      </w:pPr>
      <w:r>
        <w:rPr>
          <w:w w:val="100"/>
        </w:rPr>
        <w:t>008.</w:t>
      </w:r>
      <w:r>
        <w:rPr>
          <w:w w:val="100"/>
        </w:rPr>
        <w:tab/>
      </w:r>
      <w:r>
        <w:rPr>
          <w:w w:val="100"/>
        </w:rPr>
        <w:fldChar w:fldCharType="begin"/>
      </w:r>
      <w:r>
        <w:rPr>
          <w:w w:val="100"/>
        </w:rPr>
        <w:instrText xml:space="preserve">xe </w:instrText>
      </w:r>
      <w:r>
        <w:rPr>
          <w:w w:val="100"/>
        </w:rPr>
        <w:instrText>"</w:instrText>
      </w:r>
      <w:r>
        <w:rPr>
          <w:w w:val="100"/>
        </w:rPr>
        <w:instrText>Record Keeping</w:instrText>
      </w:r>
      <w:r>
        <w:rPr>
          <w:w w:val="100"/>
        </w:rPr>
        <w:instrText>"</w:instrText>
      </w:r>
      <w:r>
        <w:rPr>
          <w:w w:val="100"/>
        </w:rPr>
        <w:fldChar w:fldCharType="end"/>
      </w:r>
      <w:r>
        <w:rPr>
          <w:w w:val="100"/>
        </w:rPr>
        <w:t>Record Keeping.</w:t>
      </w:r>
    </w:p>
    <w:p w:rsidR="00000000" w:rsidRDefault="00EC264E">
      <w:pPr>
        <w:pStyle w:val="Body"/>
        <w:rPr>
          <w:w w:val="100"/>
        </w:rPr>
      </w:pPr>
      <w:r>
        <w:rPr>
          <w:w w:val="100"/>
        </w:rPr>
        <w:t>Maintenance of records to support credits claimed is the responsibility of the Licensee. Records required include, but are not limited to:</w:t>
      </w:r>
      <w:r>
        <w:rPr>
          <w:w w:val="100"/>
        </w:rPr>
        <w:tab/>
      </w:r>
      <w:r>
        <w:rPr>
          <w:w w:val="100"/>
        </w:rPr>
        <w:tab/>
      </w:r>
      <w:r>
        <w:rPr>
          <w:w w:val="100"/>
        </w:rPr>
        <w:t>(7-1-99)</w:t>
      </w:r>
    </w:p>
    <w:p w:rsidR="00000000" w:rsidRDefault="00EC264E">
      <w:pPr>
        <w:pStyle w:val="Body"/>
        <w:rPr>
          <w:w w:val="100"/>
        </w:rPr>
      </w:pPr>
    </w:p>
    <w:p w:rsidR="00000000" w:rsidRDefault="00EC264E">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Record Keeping: Log</w:instrText>
      </w:r>
      <w:r>
        <w:rPr>
          <w:rStyle w:val="Bold"/>
        </w:rPr>
        <w:instrText>"</w:instrText>
      </w:r>
      <w:r>
        <w:rPr>
          <w:rStyle w:val="Bold"/>
        </w:rPr>
        <w:fldChar w:fldCharType="end"/>
      </w:r>
      <w:r>
        <w:rPr>
          <w:rStyle w:val="Bold"/>
        </w:rPr>
        <w:t>Log</w:t>
      </w:r>
      <w:r>
        <w:rPr>
          <w:w w:val="100"/>
        </w:rPr>
        <w:t xml:space="preserve">. A log showing the type of activity </w:t>
      </w:r>
      <w:r>
        <w:rPr>
          <w:w w:val="100"/>
        </w:rPr>
        <w:t xml:space="preserve">claimed, sponsoring organization, location, duration, </w:t>
      </w:r>
      <w:proofErr w:type="gramStart"/>
      <w:r>
        <w:rPr>
          <w:w w:val="100"/>
        </w:rPr>
        <w:t>instructor’s</w:t>
      </w:r>
      <w:proofErr w:type="gramEnd"/>
      <w:r>
        <w:rPr>
          <w:w w:val="100"/>
        </w:rPr>
        <w:t xml:space="preserve"> or speaker’s name, and PDH credits earned. Time sheets or expense sheets signed by the Licensee documenting the Continuing Professional Development activity claimed (sponsoring organization</w:t>
      </w:r>
      <w:r>
        <w:rPr>
          <w:w w:val="100"/>
        </w:rPr>
        <w:t>, location, duration, instructor’s or speaker’s name), time and/or expense related thereto, and claimed PDH credits earned shall be an acceptable log; and</w:t>
      </w:r>
      <w:r>
        <w:rPr>
          <w:w w:val="100"/>
        </w:rPr>
        <w:tab/>
      </w:r>
      <w:r>
        <w:rPr>
          <w:w w:val="100"/>
        </w:rPr>
        <w:t>(5-8-09)</w:t>
      </w:r>
    </w:p>
    <w:p w:rsidR="00000000" w:rsidRDefault="00EC264E">
      <w:pPr>
        <w:pStyle w:val="Body"/>
        <w:rPr>
          <w:w w:val="100"/>
        </w:rPr>
      </w:pPr>
    </w:p>
    <w:p w:rsidR="00000000" w:rsidRDefault="00EC264E">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Record Keeping: Attendance Verification</w:instrText>
      </w:r>
      <w:r>
        <w:rPr>
          <w:rStyle w:val="Bold"/>
        </w:rPr>
        <w:instrText>"</w:instrText>
      </w:r>
      <w:r>
        <w:rPr>
          <w:rStyle w:val="Bold"/>
        </w:rPr>
        <w:fldChar w:fldCharType="end"/>
      </w:r>
      <w:r>
        <w:rPr>
          <w:rStyle w:val="Bold"/>
        </w:rPr>
        <w:t>Attendance Verification</w:t>
      </w:r>
      <w:r>
        <w:rPr>
          <w:w w:val="100"/>
        </w:rPr>
        <w:t>. Attendance ve</w:t>
      </w:r>
      <w:r>
        <w:rPr>
          <w:w w:val="100"/>
        </w:rPr>
        <w:t>rification records in the form of completion certificates or other documents supporting evidence of attendance; or</w:t>
      </w:r>
      <w:r>
        <w:rPr>
          <w:w w:val="100"/>
        </w:rPr>
        <w:tab/>
      </w:r>
      <w:r>
        <w:rPr>
          <w:w w:val="100"/>
        </w:rPr>
        <w:t>(7-1-99)</w:t>
      </w:r>
    </w:p>
    <w:p w:rsidR="00000000" w:rsidRDefault="00EC264E">
      <w:pPr>
        <w:pStyle w:val="Body"/>
        <w:rPr>
          <w:w w:val="100"/>
        </w:rPr>
      </w:pPr>
    </w:p>
    <w:p w:rsidR="00000000" w:rsidRDefault="00EC264E">
      <w:pPr>
        <w:pStyle w:val="Body"/>
        <w:rPr>
          <w:w w:val="100"/>
        </w:rPr>
      </w:pPr>
      <w:r>
        <w:rPr>
          <w:w w:val="100"/>
        </w:rPr>
        <w:tab/>
      </w:r>
      <w:r>
        <w:rPr>
          <w:rStyle w:val="Bold"/>
        </w:rPr>
        <w:t>03.</w:t>
      </w:r>
      <w:r>
        <w:rPr>
          <w:rStyle w:val="Bold"/>
        </w:rPr>
        <w:tab/>
      </w:r>
      <w:r>
        <w:rPr>
          <w:rStyle w:val="Bold"/>
        </w:rPr>
        <w:fldChar w:fldCharType="begin"/>
      </w:r>
      <w:r>
        <w:rPr>
          <w:rStyle w:val="Bold"/>
        </w:rPr>
        <w:instrText>xe "</w:instrText>
      </w:r>
      <w:r>
        <w:rPr>
          <w:rStyle w:val="Bold"/>
        </w:rPr>
        <w:instrText>Record Keeping: Records</w:instrText>
      </w:r>
      <w:r>
        <w:rPr>
          <w:rStyle w:val="Bold"/>
        </w:rPr>
        <w:instrText>"</w:instrText>
      </w:r>
      <w:r>
        <w:rPr>
          <w:rStyle w:val="Bold"/>
        </w:rPr>
        <w:fldChar w:fldCharType="end"/>
      </w:r>
      <w:r>
        <w:rPr>
          <w:rStyle w:val="Bold"/>
        </w:rPr>
        <w:t>Records</w:t>
      </w:r>
      <w:r>
        <w:rPr>
          <w:w w:val="100"/>
        </w:rPr>
        <w:t>. Records may be maintained by a repository for same.</w:t>
      </w:r>
      <w:r>
        <w:rPr>
          <w:w w:val="100"/>
        </w:rPr>
        <w:tab/>
        <w:t>(5-8-09)</w:t>
      </w:r>
    </w:p>
    <w:p w:rsidR="00000000" w:rsidRDefault="00EC264E">
      <w:pPr>
        <w:pStyle w:val="Body"/>
        <w:rPr>
          <w:w w:val="100"/>
        </w:rPr>
      </w:pPr>
    </w:p>
    <w:p w:rsidR="00000000" w:rsidRDefault="00EC264E">
      <w:pPr>
        <w:pStyle w:val="Body"/>
        <w:rPr>
          <w:w w:val="100"/>
        </w:rPr>
      </w:pPr>
      <w:r>
        <w:rPr>
          <w:w w:val="100"/>
        </w:rPr>
        <w:tab/>
      </w:r>
      <w:r>
        <w:rPr>
          <w:rStyle w:val="Bold"/>
        </w:rPr>
        <w:t>04.</w:t>
      </w:r>
      <w:r>
        <w:rPr>
          <w:rStyle w:val="Bold"/>
        </w:rPr>
        <w:tab/>
      </w:r>
      <w:r>
        <w:rPr>
          <w:rStyle w:val="Bold"/>
        </w:rPr>
        <w:fldChar w:fldCharType="begin"/>
      </w:r>
      <w:r>
        <w:rPr>
          <w:rStyle w:val="Bold"/>
        </w:rPr>
        <w:instrText>xe "</w:instrText>
      </w:r>
      <w:r>
        <w:rPr>
          <w:rStyle w:val="Bold"/>
        </w:rPr>
        <w:instrText>Record Keeping</w:instrText>
      </w:r>
      <w:r>
        <w:rPr>
          <w:rStyle w:val="Bold"/>
        </w:rPr>
        <w:instrText>: Documented Self-Study</w:instrText>
      </w:r>
      <w:r>
        <w:rPr>
          <w:rStyle w:val="Bold"/>
        </w:rPr>
        <w:instrText>"</w:instrText>
      </w:r>
      <w:r>
        <w:rPr>
          <w:rStyle w:val="Bold"/>
        </w:rPr>
        <w:fldChar w:fldCharType="end"/>
      </w:r>
      <w:r>
        <w:rPr>
          <w:rStyle w:val="Bold"/>
        </w:rPr>
        <w:t>Documented Self-Study</w:t>
      </w:r>
      <w:r>
        <w:rPr>
          <w:w w:val="100"/>
        </w:rPr>
        <w:t>. In order to qualify in this category, the licensee must prepare and retain an abstract of the material studied, the date the activity occurred and the number of PDH’s claimed, and a bibliographic reference o</w:t>
      </w:r>
      <w:r>
        <w:rPr>
          <w:w w:val="100"/>
        </w:rPr>
        <w:t>f the material studied. A photocopy of pertinent parts of the material studied, annotated with the date the activity occurred and the number of PDH’s claimed, shall be deemed to meet this requirement.</w:t>
      </w:r>
      <w:r>
        <w:rPr>
          <w:w w:val="100"/>
        </w:rPr>
        <w:tab/>
      </w:r>
      <w:r>
        <w:rPr>
          <w:w w:val="100"/>
        </w:rPr>
        <w:t>(5-8-09)</w:t>
      </w:r>
    </w:p>
    <w:p w:rsidR="00000000" w:rsidRDefault="00EC264E">
      <w:pPr>
        <w:pStyle w:val="Body"/>
        <w:rPr>
          <w:w w:val="100"/>
        </w:rPr>
      </w:pPr>
    </w:p>
    <w:p w:rsidR="00000000" w:rsidRDefault="00EC264E">
      <w:pPr>
        <w:pStyle w:val="Body"/>
        <w:rPr>
          <w:w w:val="100"/>
        </w:rPr>
      </w:pPr>
      <w:r>
        <w:rPr>
          <w:w w:val="100"/>
        </w:rPr>
        <w:tab/>
      </w:r>
      <w:r>
        <w:rPr>
          <w:rStyle w:val="Bold"/>
        </w:rPr>
        <w:t>05.</w:t>
      </w:r>
      <w:r>
        <w:rPr>
          <w:rStyle w:val="Bold"/>
        </w:rPr>
        <w:tab/>
      </w:r>
      <w:r>
        <w:rPr>
          <w:rStyle w:val="Bold"/>
        </w:rPr>
        <w:fldChar w:fldCharType="begin"/>
      </w:r>
      <w:r>
        <w:rPr>
          <w:rStyle w:val="Bold"/>
        </w:rPr>
        <w:instrText>xe "</w:instrText>
      </w:r>
      <w:r>
        <w:rPr>
          <w:rStyle w:val="Bold"/>
        </w:rPr>
        <w:instrText>Record Keeping: Record Retention</w:instrText>
      </w:r>
      <w:r>
        <w:rPr>
          <w:rStyle w:val="Bold"/>
        </w:rPr>
        <w:instrText>"</w:instrText>
      </w:r>
      <w:r>
        <w:rPr>
          <w:rStyle w:val="Bold"/>
        </w:rPr>
        <w:fldChar w:fldCharType="end"/>
      </w:r>
      <w:r>
        <w:rPr>
          <w:rStyle w:val="Bold"/>
        </w:rPr>
        <w:t>Record Retention</w:t>
      </w:r>
      <w:r>
        <w:rPr>
          <w:w w:val="100"/>
        </w:rPr>
        <w:t>. All continuing professional development records must be maintained for a period of six (6) years and copies must be provided to the Board upon request for audit purposes.</w:t>
      </w:r>
      <w:r>
        <w:rPr>
          <w:w w:val="100"/>
        </w:rPr>
        <w:tab/>
      </w:r>
      <w:r>
        <w:rPr>
          <w:w w:val="100"/>
        </w:rPr>
        <w:t>(5-8-09)</w:t>
      </w:r>
    </w:p>
    <w:p w:rsidR="00000000" w:rsidRDefault="00EC264E">
      <w:pPr>
        <w:pStyle w:val="Body"/>
        <w:rPr>
          <w:w w:val="100"/>
        </w:rPr>
      </w:pPr>
    </w:p>
    <w:p w:rsidR="00000000" w:rsidRDefault="00EC264E">
      <w:pPr>
        <w:pStyle w:val="SectionNameTOC"/>
        <w:rPr>
          <w:w w:val="100"/>
        </w:rPr>
      </w:pPr>
      <w:r>
        <w:rPr>
          <w:w w:val="100"/>
        </w:rPr>
        <w:t>009.</w:t>
      </w:r>
      <w:r>
        <w:rPr>
          <w:w w:val="100"/>
        </w:rPr>
        <w:tab/>
      </w:r>
      <w:r>
        <w:rPr>
          <w:w w:val="100"/>
        </w:rPr>
        <w:fldChar w:fldCharType="begin"/>
      </w:r>
      <w:r>
        <w:rPr>
          <w:w w:val="100"/>
        </w:rPr>
        <w:instrText>xe "</w:instrText>
      </w:r>
      <w:r>
        <w:rPr>
          <w:w w:val="100"/>
        </w:rPr>
        <w:instrText>Exemptions</w:instrText>
      </w:r>
      <w:r>
        <w:rPr>
          <w:w w:val="100"/>
        </w:rPr>
        <w:instrText>"</w:instrText>
      </w:r>
      <w:r>
        <w:rPr>
          <w:w w:val="100"/>
        </w:rPr>
        <w:fldChar w:fldCharType="end"/>
      </w:r>
      <w:r>
        <w:rPr>
          <w:w w:val="100"/>
        </w:rPr>
        <w:t>Exemptions.</w:t>
      </w:r>
    </w:p>
    <w:p w:rsidR="00000000" w:rsidRDefault="00EC264E">
      <w:pPr>
        <w:pStyle w:val="Body"/>
        <w:rPr>
          <w:w w:val="100"/>
        </w:rPr>
      </w:pPr>
      <w:r>
        <w:rPr>
          <w:w w:val="100"/>
        </w:rPr>
        <w:t>A Licensee may be exempt from the continuing professional development requirements for one (1) of the following reasons:</w:t>
      </w:r>
      <w:r>
        <w:rPr>
          <w:w w:val="100"/>
        </w:rPr>
        <w:tab/>
      </w:r>
      <w:r>
        <w:rPr>
          <w:w w:val="100"/>
        </w:rPr>
        <w:tab/>
      </w:r>
      <w:r>
        <w:rPr>
          <w:w w:val="100"/>
        </w:rPr>
        <w:tab/>
      </w:r>
      <w:r>
        <w:rPr>
          <w:w w:val="100"/>
        </w:rPr>
        <w:t>(7-1-99)</w:t>
      </w:r>
    </w:p>
    <w:p w:rsidR="00000000" w:rsidRDefault="00EC264E">
      <w:pPr>
        <w:pStyle w:val="Body"/>
        <w:rPr>
          <w:w w:val="100"/>
        </w:rPr>
      </w:pPr>
    </w:p>
    <w:p w:rsidR="00000000" w:rsidRDefault="00EC264E">
      <w:pPr>
        <w:pStyle w:val="Body"/>
        <w:rPr>
          <w:w w:val="100"/>
        </w:rPr>
      </w:pPr>
      <w:r>
        <w:rPr>
          <w:w w:val="100"/>
        </w:rPr>
        <w:tab/>
      </w:r>
      <w:r>
        <w:rPr>
          <w:rStyle w:val="Bold"/>
        </w:rPr>
        <w:t>01.</w:t>
      </w:r>
      <w:r>
        <w:rPr>
          <w:rStyle w:val="Bold"/>
        </w:rPr>
        <w:tab/>
      </w:r>
      <w:r>
        <w:rPr>
          <w:rStyle w:val="Bold"/>
        </w:rPr>
        <w:fldChar w:fldCharType="begin"/>
      </w:r>
      <w:r>
        <w:rPr>
          <w:rStyle w:val="Bold"/>
        </w:rPr>
        <w:instrText>xe "</w:instrText>
      </w:r>
      <w:r>
        <w:rPr>
          <w:rStyle w:val="Bold"/>
        </w:rPr>
        <w:instrText>Exemptions: First Renewal Period</w:instrText>
      </w:r>
      <w:r>
        <w:rPr>
          <w:rStyle w:val="Bold"/>
        </w:rPr>
        <w:instrText>"</w:instrText>
      </w:r>
      <w:r>
        <w:rPr>
          <w:rStyle w:val="Bold"/>
        </w:rPr>
        <w:fldChar w:fldCharType="end"/>
      </w:r>
      <w:r>
        <w:rPr>
          <w:rStyle w:val="Bold"/>
        </w:rPr>
        <w:t>First Renewal Period</w:t>
      </w:r>
      <w:r>
        <w:rPr>
          <w:w w:val="100"/>
        </w:rPr>
        <w:t>. New Licensees by way of examination or comity shall be ex</w:t>
      </w:r>
      <w:r>
        <w:rPr>
          <w:w w:val="100"/>
        </w:rPr>
        <w:t>empt from compliance with these rules during the time between issuance of the license and the due date of their first renewal following the issuance of the license.</w:t>
      </w:r>
      <w:r>
        <w:rPr>
          <w:w w:val="100"/>
        </w:rPr>
        <w:tab/>
      </w:r>
      <w:r>
        <w:rPr>
          <w:w w:val="100"/>
        </w:rPr>
        <w:t>(5-8-09)</w:t>
      </w:r>
    </w:p>
    <w:p w:rsidR="00000000" w:rsidRDefault="00EC264E">
      <w:pPr>
        <w:pStyle w:val="Body"/>
        <w:rPr>
          <w:w w:val="100"/>
        </w:rPr>
      </w:pPr>
    </w:p>
    <w:p w:rsidR="00000000" w:rsidRDefault="00EC264E">
      <w:pPr>
        <w:pStyle w:val="Body"/>
        <w:rPr>
          <w:w w:val="100"/>
        </w:rPr>
      </w:pPr>
      <w:r>
        <w:rPr>
          <w:w w:val="100"/>
        </w:rPr>
        <w:tab/>
      </w:r>
      <w:r>
        <w:rPr>
          <w:rStyle w:val="Bold"/>
        </w:rPr>
        <w:t>02.</w:t>
      </w:r>
      <w:r>
        <w:rPr>
          <w:rStyle w:val="Bold"/>
        </w:rPr>
        <w:tab/>
      </w:r>
      <w:r>
        <w:rPr>
          <w:rStyle w:val="Bold"/>
        </w:rPr>
        <w:fldChar w:fldCharType="begin"/>
      </w:r>
      <w:r>
        <w:rPr>
          <w:rStyle w:val="Bold"/>
        </w:rPr>
        <w:instrText>xe "</w:instrText>
      </w:r>
      <w:r>
        <w:rPr>
          <w:rStyle w:val="Bold"/>
        </w:rPr>
        <w:instrText>Exemptions: Active Duty in the Armed Forces</w:instrText>
      </w:r>
      <w:r>
        <w:rPr>
          <w:rStyle w:val="Bold"/>
        </w:rPr>
        <w:instrText>"</w:instrText>
      </w:r>
      <w:r>
        <w:rPr>
          <w:rStyle w:val="Bold"/>
        </w:rPr>
        <w:fldChar w:fldCharType="end"/>
      </w:r>
      <w:r>
        <w:rPr>
          <w:rStyle w:val="Bold"/>
        </w:rPr>
        <w:t>Active Duty in the Armed</w:t>
      </w:r>
      <w:r>
        <w:rPr>
          <w:rStyle w:val="Bold"/>
        </w:rPr>
        <w:t xml:space="preserve"> Forces</w:t>
      </w:r>
      <w:r>
        <w:rPr>
          <w:w w:val="100"/>
        </w:rPr>
        <w:t>. A Licensee serving on active duty in the armed forces of the United States, or a civilian deployed with the military, and temporarily assigned duty at a location other than their normal home station for a period of time exceeding one hundred twent</w:t>
      </w:r>
      <w:r>
        <w:rPr>
          <w:w w:val="100"/>
        </w:rPr>
        <w:t>y (120) consecutive days in a renewal period or the two (2) calendar year period closest to the renewal biennium shall be exempt from obtaining the professional development hours required during that renewal period or the two (2) calendar year period close</w:t>
      </w:r>
      <w:r>
        <w:rPr>
          <w:w w:val="100"/>
        </w:rPr>
        <w:t>st to the renewal biennium.</w:t>
      </w:r>
      <w:r>
        <w:rPr>
          <w:w w:val="100"/>
        </w:rPr>
        <w:tab/>
      </w:r>
      <w:r>
        <w:rPr>
          <w:w w:val="100"/>
        </w:rPr>
        <w:tab/>
      </w:r>
      <w:r>
        <w:rPr>
          <w:w w:val="100"/>
        </w:rPr>
        <w:t>(3-29-12)</w:t>
      </w:r>
    </w:p>
    <w:p w:rsidR="00000000" w:rsidRDefault="00EC264E">
      <w:pPr>
        <w:pStyle w:val="Body"/>
        <w:rPr>
          <w:w w:val="100"/>
        </w:rPr>
      </w:pPr>
    </w:p>
    <w:p w:rsidR="00000000" w:rsidRDefault="00EC264E">
      <w:pPr>
        <w:pStyle w:val="Body"/>
        <w:rPr>
          <w:w w:val="100"/>
        </w:rPr>
      </w:pPr>
      <w:r>
        <w:rPr>
          <w:w w:val="100"/>
        </w:rPr>
        <w:tab/>
      </w:r>
      <w:r>
        <w:rPr>
          <w:rStyle w:val="Bold"/>
        </w:rPr>
        <w:t>03.</w:t>
      </w:r>
      <w:r>
        <w:rPr>
          <w:rStyle w:val="Bold"/>
        </w:rPr>
        <w:tab/>
      </w:r>
      <w:r>
        <w:rPr>
          <w:rStyle w:val="Bold"/>
        </w:rPr>
        <w:fldChar w:fldCharType="begin"/>
      </w:r>
      <w:r>
        <w:rPr>
          <w:rStyle w:val="Bold"/>
        </w:rPr>
        <w:instrText>xe "</w:instrText>
      </w:r>
      <w:r>
        <w:rPr>
          <w:rStyle w:val="Bold"/>
        </w:rPr>
        <w:instrText>Exemptions: Extenuating Circumstances</w:instrText>
      </w:r>
      <w:r>
        <w:rPr>
          <w:rStyle w:val="Bold"/>
        </w:rPr>
        <w:instrText>"</w:instrText>
      </w:r>
      <w:r>
        <w:rPr>
          <w:rStyle w:val="Bold"/>
        </w:rPr>
        <w:fldChar w:fldCharType="end"/>
      </w:r>
      <w:r>
        <w:rPr>
          <w:rStyle w:val="Bold"/>
        </w:rPr>
        <w:t>Extenuating Circumstances</w:t>
      </w:r>
      <w:r>
        <w:rPr>
          <w:w w:val="100"/>
        </w:rPr>
        <w:t>. A Licensee experiencing physical disability, serious illness, or other extenuating circumstances accepted by the board.</w:t>
      </w:r>
      <w:r>
        <w:rPr>
          <w:w w:val="100"/>
        </w:rPr>
        <w:tab/>
      </w:r>
      <w:r>
        <w:rPr>
          <w:w w:val="100"/>
        </w:rPr>
        <w:t>(7-1-99)</w:t>
      </w:r>
    </w:p>
    <w:p w:rsidR="00000000" w:rsidRDefault="00EC264E">
      <w:pPr>
        <w:pStyle w:val="Body"/>
        <w:rPr>
          <w:w w:val="100"/>
        </w:rPr>
      </w:pPr>
    </w:p>
    <w:p w:rsidR="00000000" w:rsidRDefault="00EC264E">
      <w:pPr>
        <w:pStyle w:val="Body"/>
        <w:rPr>
          <w:w w:val="100"/>
        </w:rPr>
      </w:pPr>
      <w:r>
        <w:rPr>
          <w:w w:val="100"/>
        </w:rPr>
        <w:tab/>
      </w:r>
      <w:r>
        <w:rPr>
          <w:rStyle w:val="Bold"/>
        </w:rPr>
        <w:t>04.</w:t>
      </w:r>
      <w:r>
        <w:rPr>
          <w:rStyle w:val="Bold"/>
        </w:rPr>
        <w:tab/>
      </w:r>
      <w:r>
        <w:rPr>
          <w:rStyle w:val="Bold"/>
        </w:rPr>
        <w:fldChar w:fldCharType="begin"/>
      </w:r>
      <w:r>
        <w:rPr>
          <w:rStyle w:val="Bold"/>
        </w:rPr>
        <w:instrText>xe</w:instrText>
      </w:r>
      <w:r>
        <w:rPr>
          <w:rStyle w:val="Bold"/>
        </w:rPr>
        <w:instrText xml:space="preserve"> "</w:instrText>
      </w:r>
      <w:r>
        <w:rPr>
          <w:rStyle w:val="Bold"/>
        </w:rPr>
        <w:instrText>Exemptions: Retired &amp; Receiving No Remuneration</w:instrText>
      </w:r>
      <w:r>
        <w:rPr>
          <w:rStyle w:val="Bold"/>
        </w:rPr>
        <w:instrText>"</w:instrText>
      </w:r>
      <w:r>
        <w:rPr>
          <w:rStyle w:val="Bold"/>
        </w:rPr>
        <w:fldChar w:fldCharType="end"/>
      </w:r>
      <w:r>
        <w:rPr>
          <w:rStyle w:val="Bold"/>
        </w:rPr>
        <w:t>Retired and Receiving No Remuneration</w:t>
      </w:r>
      <w:r>
        <w:rPr>
          <w:w w:val="100"/>
        </w:rPr>
        <w:t>. A Licensee who has chosen and qualified for the “Retired” status and who further certifies that they are no longer receiving any remuneration from providing professi</w:t>
      </w:r>
      <w:r>
        <w:rPr>
          <w:w w:val="100"/>
        </w:rPr>
        <w:t>onal engineering or professional land surveying services shall be exempt from the professional development hours required. In the event such a person elects to return to active practice of professional engineering or professional land surveying, profession</w:t>
      </w:r>
      <w:r>
        <w:rPr>
          <w:w w:val="100"/>
        </w:rPr>
        <w:t xml:space="preserve">al development hours must be earned before returning to active practice for each biennium or the two (2) calendar year period closest to the renewal biennium exempted not to exceed the requirement for two (2) </w:t>
      </w:r>
      <w:proofErr w:type="spellStart"/>
      <w:r>
        <w:rPr>
          <w:w w:val="100"/>
        </w:rPr>
        <w:t>bienniums</w:t>
      </w:r>
      <w:proofErr w:type="spellEnd"/>
      <w:r>
        <w:rPr>
          <w:w w:val="100"/>
        </w:rPr>
        <w:t xml:space="preserve"> or four (4) calendar years.</w:t>
      </w:r>
      <w:r>
        <w:rPr>
          <w:w w:val="100"/>
        </w:rPr>
        <w:tab/>
      </w:r>
      <w:r>
        <w:rPr>
          <w:w w:val="100"/>
        </w:rPr>
        <w:t>(5-8-09</w:t>
      </w:r>
      <w:r>
        <w:rPr>
          <w:w w:val="100"/>
        </w:rPr>
        <w:t>)</w:t>
      </w:r>
    </w:p>
    <w:p w:rsidR="00000000" w:rsidRDefault="00EC264E">
      <w:pPr>
        <w:pStyle w:val="Body"/>
        <w:rPr>
          <w:w w:val="100"/>
        </w:rPr>
      </w:pPr>
    </w:p>
    <w:p w:rsidR="00000000" w:rsidRDefault="00EC264E">
      <w:pPr>
        <w:pStyle w:val="Body"/>
        <w:rPr>
          <w:w w:val="100"/>
        </w:rPr>
      </w:pPr>
      <w:r>
        <w:rPr>
          <w:w w:val="100"/>
        </w:rPr>
        <w:tab/>
      </w:r>
      <w:r>
        <w:rPr>
          <w:rStyle w:val="Bold"/>
        </w:rPr>
        <w:t>05.</w:t>
      </w:r>
      <w:r>
        <w:rPr>
          <w:rStyle w:val="Bold"/>
        </w:rPr>
        <w:tab/>
      </w:r>
      <w:r>
        <w:rPr>
          <w:rStyle w:val="Bold"/>
        </w:rPr>
        <w:fldChar w:fldCharType="begin"/>
      </w:r>
      <w:r>
        <w:rPr>
          <w:rStyle w:val="Bold"/>
        </w:rPr>
        <w:instrText>xe "</w:instrText>
      </w:r>
      <w:r>
        <w:rPr>
          <w:rStyle w:val="Bold"/>
        </w:rPr>
        <w:instrText>Exemptions: Expired License</w:instrText>
      </w:r>
      <w:r>
        <w:rPr>
          <w:rStyle w:val="Bold"/>
        </w:rPr>
        <w:instrText>"</w:instrText>
      </w:r>
      <w:r>
        <w:rPr>
          <w:rStyle w:val="Bold"/>
        </w:rPr>
        <w:fldChar w:fldCharType="end"/>
      </w:r>
      <w:r>
        <w:rPr>
          <w:rStyle w:val="Bold"/>
        </w:rPr>
        <w:t>Expired License</w:t>
      </w:r>
      <w:r>
        <w:rPr>
          <w:w w:val="100"/>
        </w:rPr>
        <w:t xml:space="preserve">. A Licensee who has chosen to allow his license to expire shall be exempt from the professional development hours required. In the event such a person elects to reactivate the license, professional </w:t>
      </w:r>
      <w:r>
        <w:rPr>
          <w:w w:val="100"/>
        </w:rPr>
        <w:t xml:space="preserve">development hours must be earned and documented before reinstating the license for each biennium or two (2) calendar years exempted not to exceed the requirement for two (2) </w:t>
      </w:r>
      <w:proofErr w:type="spellStart"/>
      <w:r>
        <w:rPr>
          <w:w w:val="100"/>
        </w:rPr>
        <w:t>bienniums</w:t>
      </w:r>
      <w:proofErr w:type="spellEnd"/>
      <w:r>
        <w:rPr>
          <w:w w:val="100"/>
        </w:rPr>
        <w:t xml:space="preserve"> or four (4) calendar years.</w:t>
      </w:r>
      <w:r>
        <w:rPr>
          <w:w w:val="100"/>
        </w:rPr>
        <w:tab/>
      </w:r>
      <w:r>
        <w:rPr>
          <w:w w:val="100"/>
        </w:rPr>
        <w:t>(5-8-09)</w:t>
      </w:r>
    </w:p>
    <w:p w:rsidR="00000000" w:rsidRDefault="00EC264E">
      <w:pPr>
        <w:pStyle w:val="Body"/>
        <w:rPr>
          <w:w w:val="100"/>
        </w:rPr>
      </w:pPr>
    </w:p>
    <w:p w:rsidR="00000000" w:rsidRDefault="00EC264E">
      <w:pPr>
        <w:pStyle w:val="Body"/>
        <w:rPr>
          <w:w w:val="100"/>
        </w:rPr>
      </w:pPr>
      <w:r>
        <w:rPr>
          <w:w w:val="100"/>
        </w:rPr>
        <w:tab/>
      </w:r>
      <w:r>
        <w:rPr>
          <w:rStyle w:val="Bold"/>
        </w:rPr>
        <w:t>06.</w:t>
      </w:r>
      <w:r>
        <w:rPr>
          <w:rStyle w:val="Bold"/>
        </w:rPr>
        <w:tab/>
      </w:r>
      <w:r>
        <w:rPr>
          <w:rStyle w:val="Bold"/>
        </w:rPr>
        <w:fldChar w:fldCharType="begin"/>
      </w:r>
      <w:r>
        <w:rPr>
          <w:rStyle w:val="Bold"/>
        </w:rPr>
        <w:instrText>xe "</w:instrText>
      </w:r>
      <w:r>
        <w:rPr>
          <w:rStyle w:val="Bold"/>
        </w:rPr>
        <w:instrText>Exemptions: Renewal Per</w:instrText>
      </w:r>
      <w:r>
        <w:rPr>
          <w:rStyle w:val="Bold"/>
        </w:rPr>
        <w:instrText>iod Following Adoption of These Rules as They are Amended to Include Professional Engineers</w:instrText>
      </w:r>
      <w:r>
        <w:rPr>
          <w:rStyle w:val="Bold"/>
        </w:rPr>
        <w:instrText>"</w:instrText>
      </w:r>
      <w:r>
        <w:rPr>
          <w:rStyle w:val="Bold"/>
        </w:rPr>
        <w:fldChar w:fldCharType="end"/>
      </w:r>
      <w:r>
        <w:rPr>
          <w:rStyle w:val="Bold"/>
        </w:rPr>
        <w:t xml:space="preserve">Renewal Period Following Adoption of These Rules as </w:t>
      </w:r>
      <w:proofErr w:type="gramStart"/>
      <w:r>
        <w:rPr>
          <w:rStyle w:val="Bold"/>
        </w:rPr>
        <w:t>They</w:t>
      </w:r>
      <w:proofErr w:type="gramEnd"/>
      <w:r>
        <w:rPr>
          <w:rStyle w:val="Bold"/>
        </w:rPr>
        <w:t xml:space="preserve"> are Amended to Include Professional Engineers</w:t>
      </w:r>
      <w:r>
        <w:rPr>
          <w:w w:val="100"/>
        </w:rPr>
        <w:t>. All professional engineers shall be exempt from compliance</w:t>
      </w:r>
      <w:r>
        <w:rPr>
          <w:w w:val="100"/>
        </w:rPr>
        <w:t xml:space="preserve"> with these rules during the time between the effective date of this subsection and the due date of their first renewal following the effective date of this subsection.</w:t>
      </w:r>
      <w:r>
        <w:rPr>
          <w:w w:val="100"/>
        </w:rPr>
        <w:tab/>
      </w:r>
      <w:r>
        <w:rPr>
          <w:w w:val="100"/>
        </w:rPr>
        <w:tab/>
      </w:r>
      <w:r>
        <w:rPr>
          <w:w w:val="100"/>
        </w:rPr>
        <w:t>(5-8-09)</w:t>
      </w:r>
    </w:p>
    <w:p w:rsidR="00000000" w:rsidRDefault="00EC264E">
      <w:pPr>
        <w:pStyle w:val="Body"/>
        <w:rPr>
          <w:w w:val="100"/>
        </w:rPr>
      </w:pPr>
    </w:p>
    <w:p w:rsidR="00000000" w:rsidRDefault="00EC264E">
      <w:pPr>
        <w:pStyle w:val="Body"/>
        <w:rPr>
          <w:w w:val="100"/>
        </w:rPr>
      </w:pPr>
      <w:r>
        <w:rPr>
          <w:rStyle w:val="Bold"/>
        </w:rPr>
        <w:tab/>
        <w:t>07.</w:t>
      </w:r>
      <w:r>
        <w:rPr>
          <w:rStyle w:val="Bold"/>
        </w:rPr>
        <w:tab/>
      </w:r>
      <w:r>
        <w:rPr>
          <w:rStyle w:val="Bold"/>
        </w:rPr>
        <w:fldChar w:fldCharType="begin"/>
      </w:r>
      <w:r>
        <w:rPr>
          <w:rStyle w:val="Bold"/>
        </w:rPr>
        <w:instrText>xe "</w:instrText>
      </w:r>
      <w:r>
        <w:rPr>
          <w:rStyle w:val="Bold"/>
        </w:rPr>
        <w:instrText>Exemptions: Licensees Residing Outside the United States of Americ</w:instrText>
      </w:r>
      <w:r>
        <w:rPr>
          <w:rStyle w:val="Bold"/>
        </w:rPr>
        <w:instrText>a</w:instrText>
      </w:r>
      <w:r>
        <w:rPr>
          <w:rStyle w:val="Bold"/>
        </w:rPr>
        <w:instrText>"</w:instrText>
      </w:r>
      <w:r>
        <w:rPr>
          <w:rStyle w:val="Bold"/>
        </w:rPr>
        <w:fldChar w:fldCharType="end"/>
      </w:r>
      <w:r>
        <w:rPr>
          <w:rStyle w:val="Bold"/>
        </w:rPr>
        <w:t>Licensees Residing Outside the United States of America</w:t>
      </w:r>
      <w:r>
        <w:rPr>
          <w:w w:val="100"/>
        </w:rPr>
        <w:t xml:space="preserve">. Licensees employed and residing outside the United States may delay the time required for fulfilling the continuing professional development requirements for a maximum of two (2) biennia or four </w:t>
      </w:r>
      <w:r>
        <w:rPr>
          <w:w w:val="100"/>
        </w:rPr>
        <w:t>(4) calendar years until the end of the six (6) month period beginning upon their return to the United States. This subsection shall not apply to permanent non-residents of the United States.</w:t>
      </w:r>
      <w:r>
        <w:rPr>
          <w:w w:val="100"/>
        </w:rPr>
        <w:tab/>
      </w:r>
      <w:r>
        <w:rPr>
          <w:w w:val="100"/>
        </w:rPr>
        <w:tab/>
      </w:r>
      <w:r>
        <w:rPr>
          <w:w w:val="100"/>
        </w:rPr>
        <w:t>(4-4-</w:t>
      </w:r>
      <w:bookmarkStart w:id="0" w:name="_GoBack"/>
      <w:bookmarkEnd w:id="0"/>
      <w:r>
        <w:rPr>
          <w:w w:val="100"/>
        </w:rPr>
        <w:t>13)</w:t>
      </w:r>
    </w:p>
    <w:p w:rsidR="00000000" w:rsidRDefault="00EC264E">
      <w:pPr>
        <w:pStyle w:val="Body"/>
        <w:rPr>
          <w:w w:val="100"/>
        </w:rPr>
      </w:pPr>
    </w:p>
    <w:p w:rsidR="00000000" w:rsidRDefault="00EC264E">
      <w:pPr>
        <w:pStyle w:val="SectionNameTOC"/>
        <w:rPr>
          <w:w w:val="100"/>
        </w:rPr>
      </w:pPr>
      <w:r>
        <w:rPr>
          <w:w w:val="100"/>
        </w:rPr>
        <w:t>010.</w:t>
      </w:r>
      <w:r>
        <w:rPr>
          <w:w w:val="100"/>
        </w:rPr>
        <w:tab/>
      </w:r>
      <w:r>
        <w:rPr>
          <w:w w:val="100"/>
        </w:rPr>
        <w:fldChar w:fldCharType="begin"/>
      </w:r>
      <w:r>
        <w:rPr>
          <w:w w:val="100"/>
        </w:rPr>
        <w:instrText>xe "</w:instrText>
      </w:r>
      <w:r>
        <w:rPr>
          <w:w w:val="100"/>
        </w:rPr>
        <w:instrText>Comity-Out-Of-Jurisdiction Residents</w:instrText>
      </w:r>
      <w:r>
        <w:rPr>
          <w:w w:val="100"/>
        </w:rPr>
        <w:instrText>"</w:instrText>
      </w:r>
      <w:r>
        <w:rPr>
          <w:w w:val="100"/>
        </w:rPr>
        <w:fldChar w:fldCharType="end"/>
      </w:r>
      <w:r>
        <w:rPr>
          <w:w w:val="100"/>
        </w:rPr>
        <w:t>Comi</w:t>
      </w:r>
      <w:r>
        <w:rPr>
          <w:w w:val="100"/>
        </w:rPr>
        <w:t>ty/Out-Of-Jurisdiction Residents.</w:t>
      </w:r>
    </w:p>
    <w:p w:rsidR="00000000" w:rsidRDefault="00EC264E">
      <w:pPr>
        <w:pStyle w:val="Body"/>
        <w:rPr>
          <w:w w:val="100"/>
        </w:rPr>
      </w:pPr>
      <w:r>
        <w:rPr>
          <w:w w:val="100"/>
        </w:rPr>
        <w:t>The CPD requirements for non</w:t>
      </w:r>
      <w:r>
        <w:rPr>
          <w:w w:val="100"/>
        </w:rPr>
        <w:noBreakHyphen/>
        <w:t>resident licensees shall be the same as that for resident licensees.</w:t>
      </w:r>
      <w:r>
        <w:rPr>
          <w:w w:val="100"/>
        </w:rPr>
        <w:tab/>
      </w:r>
      <w:r>
        <w:rPr>
          <w:w w:val="100"/>
        </w:rPr>
        <w:t>(7-1-99)</w:t>
      </w:r>
    </w:p>
    <w:p w:rsidR="00000000" w:rsidRDefault="00EC264E">
      <w:pPr>
        <w:pStyle w:val="Body"/>
        <w:rPr>
          <w:w w:val="100"/>
        </w:rPr>
      </w:pPr>
    </w:p>
    <w:p w:rsidR="00000000" w:rsidRDefault="00EC264E">
      <w:pPr>
        <w:pStyle w:val="SectionNameTOC2"/>
        <w:rPr>
          <w:w w:val="100"/>
        </w:rPr>
      </w:pPr>
      <w:r>
        <w:rPr>
          <w:w w:val="100"/>
        </w:rPr>
        <w:t xml:space="preserve">011. </w:t>
      </w:r>
      <w:r>
        <w:rPr>
          <w:w w:val="100"/>
        </w:rPr>
        <w:noBreakHyphen/>
      </w:r>
      <w:r>
        <w:rPr>
          <w:w w:val="100"/>
        </w:rPr>
        <w:noBreakHyphen/>
        <w:t xml:space="preserve"> 998.</w:t>
      </w:r>
      <w:r>
        <w:rPr>
          <w:w w:val="100"/>
        </w:rPr>
        <w:tab/>
      </w:r>
      <w:r>
        <w:rPr>
          <w:w w:val="100"/>
        </w:rPr>
        <w:t>(Reserved)</w:t>
      </w:r>
    </w:p>
    <w:p w:rsidR="00000000" w:rsidRDefault="00EC264E">
      <w:pPr>
        <w:pStyle w:val="Body"/>
        <w:rPr>
          <w:w w:val="100"/>
        </w:rPr>
      </w:pPr>
    </w:p>
    <w:p w:rsidR="00000000" w:rsidRDefault="00EC264E">
      <w:pPr>
        <w:pStyle w:val="SectionNameTOC"/>
        <w:rPr>
          <w:w w:val="100"/>
        </w:rPr>
      </w:pPr>
      <w:r>
        <w:rPr>
          <w:w w:val="100"/>
        </w:rPr>
        <w:lastRenderedPageBreak/>
        <w:t>999.</w:t>
      </w:r>
      <w:r>
        <w:rPr>
          <w:w w:val="100"/>
        </w:rPr>
        <w:tab/>
        <w:t>Severability.</w:t>
      </w:r>
    </w:p>
    <w:p w:rsidR="00000000" w:rsidRDefault="00EC264E">
      <w:pPr>
        <w:pStyle w:val="Body"/>
        <w:rPr>
          <w:w w:val="100"/>
        </w:rPr>
      </w:pPr>
      <w:r>
        <w:rPr>
          <w:w w:val="100"/>
        </w:rPr>
        <w:t>The rules governing this chapter are severable. If any rule, or par</w:t>
      </w:r>
      <w:r>
        <w:rPr>
          <w:w w:val="100"/>
        </w:rPr>
        <w:t>t thereof, or the application of such rule to any person or circumstance is declared invalid, that invalidity does not affect the validity of any remaining portion of this chapter.</w:t>
      </w:r>
      <w:r>
        <w:rPr>
          <w:w w:val="100"/>
        </w:rPr>
        <w:tab/>
      </w:r>
      <w:r>
        <w:rPr>
          <w:w w:val="100"/>
        </w:rPr>
        <w:tab/>
      </w:r>
      <w:r>
        <w:rPr>
          <w:w w:val="100"/>
        </w:rPr>
        <w:tab/>
      </w:r>
      <w:r>
        <w:rPr>
          <w:w w:val="100"/>
        </w:rPr>
        <w:t>(7-1-99)</w:t>
      </w:r>
    </w:p>
    <w:sectPr w:rsidR="00000000">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264E">
      <w:pPr>
        <w:spacing w:after="0" w:line="240" w:lineRule="auto"/>
      </w:pPr>
      <w:r>
        <w:separator/>
      </w:r>
    </w:p>
  </w:endnote>
  <w:endnote w:type="continuationSeparator" w:id="0">
    <w:p w:rsidR="00000000" w:rsidRDefault="00EC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264E">
    <w:pPr>
      <w:pStyle w:val="BodyCenter"/>
      <w:keepNext w:val="0"/>
      <w:widowControl w:val="0"/>
      <w:pBdr>
        <w:top w:val="single" w:sz="8" w:space="0" w:color="auto"/>
      </w:pBdr>
      <w:tabs>
        <w:tab w:val="clear" w:pos="720"/>
        <w:tab w:val="center" w:pos="4680"/>
        <w:tab w:val="right" w:pos="9360"/>
      </w:tabs>
      <w:spacing w:before="0" w:after="0" w:line="220" w:lineRule="atLeast"/>
      <w:jc w:val="left"/>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264E">
    <w:pPr>
      <w:pStyle w:val="BodyCenter"/>
      <w:keepNext w:val="0"/>
      <w:widowControl w:val="0"/>
      <w:pBdr>
        <w:top w:val="single" w:sz="8" w:space="0" w:color="auto"/>
      </w:pBdr>
      <w:tabs>
        <w:tab w:val="clear" w:pos="720"/>
        <w:tab w:val="center" w:pos="4680"/>
        <w:tab w:val="right" w:pos="9360"/>
      </w:tabs>
      <w:spacing w:before="0" w:after="0" w:line="220" w:lineRule="atLeast"/>
      <w:jc w:val="left"/>
      <w:rPr>
        <w:b w:val="0"/>
        <w:bCs w:val="0"/>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264E">
      <w:pPr>
        <w:spacing w:after="0" w:line="240" w:lineRule="auto"/>
      </w:pPr>
      <w:r>
        <w:separator/>
      </w:r>
    </w:p>
  </w:footnote>
  <w:footnote w:type="continuationSeparator" w:id="0">
    <w:p w:rsidR="00000000" w:rsidRDefault="00EC2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264E">
    <w:pPr>
      <w:widowControl w:val="0"/>
      <w:autoSpaceDE w:val="0"/>
      <w:autoSpaceDN w:val="0"/>
      <w:adjustRightInd w:val="0"/>
      <w:spacing w:after="0" w:line="240" w:lineRule="auto"/>
      <w:rPr>
        <w:rFonts w:ascii="Goudy" w:hAnsi="Goudy"/>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264E">
    <w:pPr>
      <w:pStyle w:val="BodyCenter"/>
      <w:keepNext w:val="0"/>
      <w:tabs>
        <w:tab w:val="clear" w:pos="720"/>
        <w:tab w:val="right" w:pos="1440"/>
      </w:tabs>
      <w:spacing w:before="100" w:after="180" w:line="260" w:lineRule="atLeast"/>
      <w:jc w:val="left"/>
      <w:rPr>
        <w:b w:val="0"/>
        <w:bCs w:val="0"/>
        <w:w w:val="1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5F"/>
    <w:rsid w:val="0083135F"/>
    <w:rsid w:val="00EC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enter">
    <w:name w:val="Body_Center"/>
    <w:pPr>
      <w:keepNext/>
      <w:tabs>
        <w:tab w:val="left" w:pos="720"/>
      </w:tabs>
      <w:suppressAutoHyphens/>
      <w:autoSpaceDE w:val="0"/>
      <w:autoSpaceDN w:val="0"/>
      <w:adjustRightInd w:val="0"/>
      <w:spacing w:before="140" w:after="140" w:line="200" w:lineRule="atLeast"/>
      <w:jc w:val="center"/>
    </w:pPr>
    <w:rPr>
      <w:rFonts w:ascii="Times New Roman" w:hAnsi="Times New Roman" w:cs="Times New Roman"/>
      <w:b/>
      <w:bCs/>
      <w:color w:val="000000"/>
      <w:w w:val="0"/>
      <w:sz w:val="20"/>
      <w:szCs w:val="20"/>
    </w:rPr>
  </w:style>
  <w:style w:type="paragraph" w:customStyle="1" w:styleId="IDAPATOC">
    <w:name w:val="IDAPA TOC"/>
    <w:next w:val="Center"/>
    <w:uiPriority w:val="99"/>
    <w:pPr>
      <w:keepNext/>
      <w:tabs>
        <w:tab w:val="left" w:pos="720"/>
      </w:tabs>
      <w:suppressAutoHyphens/>
      <w:autoSpaceDE w:val="0"/>
      <w:autoSpaceDN w:val="0"/>
      <w:adjustRightInd w:val="0"/>
      <w:spacing w:before="180" w:after="180" w:line="240" w:lineRule="atLeast"/>
      <w:jc w:val="center"/>
    </w:pPr>
    <w:rPr>
      <w:rFonts w:ascii="Arial" w:hAnsi="Arial" w:cs="Arial"/>
      <w:b/>
      <w:bCs/>
      <w:color w:val="000000"/>
      <w:w w:val="0"/>
      <w:sz w:val="24"/>
      <w:szCs w:val="24"/>
    </w:rPr>
  </w:style>
  <w:style w:type="paragraph" w:customStyle="1" w:styleId="Center">
    <w:name w:val="Center"/>
    <w:uiPriority w:val="99"/>
    <w:pPr>
      <w:keepNext/>
      <w:tabs>
        <w:tab w:val="left" w:pos="720"/>
      </w:tabs>
      <w:suppressAutoHyphens/>
      <w:autoSpaceDE w:val="0"/>
      <w:autoSpaceDN w:val="0"/>
      <w:adjustRightInd w:val="0"/>
      <w:spacing w:before="140" w:after="140" w:line="200" w:lineRule="atLeast"/>
      <w:jc w:val="center"/>
    </w:pPr>
    <w:rPr>
      <w:rFonts w:ascii="Arial" w:hAnsi="Arial" w:cs="Arial"/>
      <w:b/>
      <w:bCs/>
      <w:color w:val="000000"/>
      <w:w w:val="0"/>
      <w:sz w:val="20"/>
      <w:szCs w:val="20"/>
    </w:rPr>
  </w:style>
  <w:style w:type="paragraph" w:customStyle="1" w:styleId="CellHeading-9pt">
    <w:name w:val="CellHeading-9pt"/>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9pt">
    <w:name w:val="CellBody-9p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
    <w:name w:val="CellBody"/>
    <w:uiPriority w:val="99"/>
    <w:pPr>
      <w:widowControl w:val="0"/>
      <w:tabs>
        <w:tab w:val="left" w:pos="460"/>
      </w:tabs>
      <w:autoSpaceDE w:val="0"/>
      <w:autoSpaceDN w:val="0"/>
      <w:adjustRightInd w:val="0"/>
      <w:spacing w:after="0" w:line="220" w:lineRule="atLeast"/>
      <w:ind w:left="640" w:hanging="640"/>
    </w:pPr>
    <w:rPr>
      <w:rFonts w:ascii="Times New Roman" w:hAnsi="Times New Roman" w:cs="Times New Roman"/>
      <w:color w:val="000000"/>
      <w:w w:val="0"/>
      <w:sz w:val="18"/>
      <w:szCs w:val="18"/>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TitleTOC">
    <w:name w:val="Title TOC"/>
    <w:uiPriority w:val="99"/>
    <w:pPr>
      <w:keepNext/>
      <w:tabs>
        <w:tab w:val="left" w:pos="720"/>
      </w:tabs>
      <w:suppressAutoHyphens/>
      <w:autoSpaceDE w:val="0"/>
      <w:autoSpaceDN w:val="0"/>
      <w:adjustRightInd w:val="0"/>
      <w:spacing w:before="160" w:after="160" w:line="200" w:lineRule="atLeast"/>
      <w:jc w:val="center"/>
    </w:pPr>
    <w:rPr>
      <w:rFonts w:ascii="Arial" w:hAnsi="Arial" w:cs="Arial"/>
      <w:b/>
      <w:bCs/>
      <w:caps/>
      <w:color w:val="000000"/>
      <w:w w:val="0"/>
      <w:sz w:val="20"/>
      <w:szCs w:val="20"/>
    </w:rPr>
  </w:style>
  <w:style w:type="paragraph" w:customStyle="1" w:styleId="CellBody-9ptCenter">
    <w:name w:val="CellBody-9pt_Center"/>
    <w:uiPriority w:val="99"/>
    <w:pPr>
      <w:widowControl w:val="0"/>
      <w:tabs>
        <w:tab w:val="left" w:pos="460"/>
      </w:tabs>
      <w:autoSpaceDE w:val="0"/>
      <w:autoSpaceDN w:val="0"/>
      <w:adjustRightInd w:val="0"/>
      <w:spacing w:after="0" w:line="220" w:lineRule="atLeast"/>
      <w:jc w:val="center"/>
    </w:pPr>
    <w:rPr>
      <w:rFonts w:ascii="Arial" w:hAnsi="Arial" w:cs="Arial"/>
      <w:color w:val="000000"/>
      <w:w w:val="0"/>
      <w:sz w:val="18"/>
      <w:szCs w:val="18"/>
    </w:rPr>
  </w:style>
  <w:style w:type="paragraph" w:customStyle="1" w:styleId="CellBody-9ptIndent">
    <w:name w:val="CellBody-9pt_Indent"/>
    <w:uiPriority w:val="99"/>
    <w:pPr>
      <w:widowControl w:val="0"/>
      <w:tabs>
        <w:tab w:val="left" w:pos="460"/>
      </w:tabs>
      <w:suppressAutoHyphens/>
      <w:autoSpaceDE w:val="0"/>
      <w:autoSpaceDN w:val="0"/>
      <w:adjustRightInd w:val="0"/>
      <w:spacing w:after="0" w:line="220" w:lineRule="atLeast"/>
      <w:ind w:left="120" w:hanging="120"/>
    </w:pPr>
    <w:rPr>
      <w:rFonts w:ascii="Arial" w:hAnsi="Arial" w:cs="Arial"/>
      <w:color w:val="000000"/>
      <w:w w:val="0"/>
      <w:sz w:val="18"/>
      <w:szCs w:val="18"/>
    </w:rPr>
  </w:style>
  <w:style w:type="paragraph" w:customStyle="1" w:styleId="Body">
    <w:name w:val="Body"/>
    <w:uiPriority w:val="99"/>
    <w:pPr>
      <w:widowControl w:val="0"/>
      <w:tabs>
        <w:tab w:val="left" w:pos="720"/>
        <w:tab w:val="left" w:pos="1440"/>
        <w:tab w:val="right" w:pos="9360"/>
      </w:tabs>
      <w:suppressAutoHyphens/>
      <w:autoSpaceDE w:val="0"/>
      <w:autoSpaceDN w:val="0"/>
      <w:adjustRightInd w:val="0"/>
      <w:spacing w:after="0" w:line="200" w:lineRule="atLeast"/>
      <w:jc w:val="both"/>
    </w:pPr>
    <w:rPr>
      <w:rFonts w:ascii="Times New Roman" w:hAnsi="Times New Roman" w:cs="Times New Roman"/>
      <w:color w:val="000000"/>
      <w:w w:val="0"/>
      <w:sz w:val="20"/>
      <w:szCs w:val="20"/>
    </w:rPr>
  </w:style>
  <w:style w:type="paragraph" w:customStyle="1" w:styleId="SectionNameTOC">
    <w:name w:val="Section Name TOC"/>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SectionNameTOC2">
    <w:name w:val="Section Name TOC2"/>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character" w:customStyle="1" w:styleId="SiFiNamesTable">
    <w:name w:val="SiFiNames_Table"/>
    <w:uiPriority w:val="99"/>
    <w:rPr>
      <w:rFonts w:ascii="Arial" w:hAnsi="Arial" w:cs="Arial"/>
      <w:i/>
      <w:iCs/>
      <w:color w:val="000000"/>
      <w:spacing w:val="0"/>
      <w:w w:val="100"/>
      <w:sz w:val="18"/>
      <w:szCs w:val="18"/>
      <w:u w:val="none"/>
      <w:vertAlign w:val="baseline"/>
      <w:lang w:val="en-US"/>
    </w:rPr>
  </w:style>
  <w:style w:type="character" w:customStyle="1" w:styleId="Bold">
    <w:name w:val="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BoldItalics">
    <w:name w:val="Bold_Italics"/>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BodyBold">
    <w:name w:val="Body_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TableBold">
    <w:name w:val="Table_Bold"/>
    <w:uiPriority w:val="99"/>
    <w:rPr>
      <w:rFonts w:ascii="Arial" w:hAnsi="Arial" w:cs="Arial"/>
      <w:b/>
      <w:bCs/>
      <w:color w:val="000000"/>
      <w:spacing w:val="0"/>
      <w:w w:val="100"/>
      <w:sz w:val="18"/>
      <w:szCs w:val="18"/>
      <w:u w:val="none"/>
      <w:vertAlign w:val="baseline"/>
      <w:lang w:val="en-US"/>
    </w:rPr>
  </w:style>
  <w:style w:type="character" w:customStyle="1" w:styleId="SiFiBold">
    <w:name w:val="SiFi_Bold"/>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CellBodyBold">
    <w:name w:val="CellBody_Bold"/>
    <w:uiPriority w:val="99"/>
    <w:rPr>
      <w:rFonts w:ascii="Arial" w:hAnsi="Arial" w:cs="Arial"/>
      <w:b/>
      <w:bCs/>
      <w:color w:val="000000"/>
      <w:spacing w:val="0"/>
      <w:w w:val="100"/>
      <w:sz w:val="18"/>
      <w:szCs w:val="18"/>
      <w:u w:val="none"/>
      <w:vertAlign w:val="baseli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EquationVariables">
    <w:name w:val="EquationVariables"/>
    <w:uiPriority w:val="99"/>
    <w:rPr>
      <w:i/>
      <w:iCs/>
    </w:rPr>
  </w:style>
  <w:style w:type="character" w:customStyle="1" w:styleId="Italics">
    <w:name w:val="Italics"/>
    <w:uiPriority w:val="99"/>
    <w:rPr>
      <w:i/>
      <w:iCs/>
      <w:vertAlign w:val="baseline"/>
    </w:rPr>
  </w:style>
  <w:style w:type="character" w:customStyle="1" w:styleId="SectionNameSiFi">
    <w:name w:val="SectionNameSiFi"/>
    <w:uiPriority w:val="99"/>
    <w:rPr>
      <w:rFonts w:ascii="Times New Roman" w:hAnsi="Times New Roman" w:cs="Times New Roman"/>
      <w:b/>
      <w:bCs/>
      <w:i/>
      <w:iCs/>
      <w:caps/>
      <w:color w:val="000000"/>
      <w:spacing w:val="0"/>
      <w:w w:val="100"/>
      <w:sz w:val="20"/>
      <w:szCs w:val="20"/>
      <w:u w:val="none"/>
      <w:vertAlign w:val="baseline"/>
      <w:lang w:val="en-US"/>
    </w:rPr>
  </w:style>
  <w:style w:type="character" w:customStyle="1" w:styleId="SiFiNames">
    <w:name w:val="SiFiNames"/>
    <w:uiPriority w:val="99"/>
    <w:rPr>
      <w:rFonts w:ascii="Times New Roman" w:hAnsi="Times New Roman" w:cs="Times New Roman"/>
      <w:i/>
      <w:iCs/>
      <w:color w:val="000000"/>
      <w:spacing w:val="0"/>
      <w:w w:val="100"/>
      <w:sz w:val="20"/>
      <w:szCs w:val="20"/>
      <w:u w:val="none"/>
      <w:vertAlign w:val="baseline"/>
      <w:lang w:val="en-US"/>
    </w:rPr>
  </w:style>
  <w:style w:type="character" w:customStyle="1" w:styleId="SiFiNames0">
    <w:name w:val="SiFi_Names"/>
    <w:uiPriority w:val="99"/>
    <w:rPr>
      <w:rFonts w:ascii="Times New Roman" w:hAnsi="Times New Roman" w:cs="Times New Roman"/>
      <w:i/>
      <w:iCs/>
      <w:color w:val="000000"/>
      <w:spacing w:val="0"/>
      <w:w w:val="100"/>
      <w:sz w:val="20"/>
      <w:szCs w:val="20"/>
      <w:u w:val="none"/>
      <w:vertAlign w:val="baseline"/>
      <w:lang w:val="en-US"/>
    </w:rPr>
  </w:style>
  <w:style w:type="character" w:styleId="Hyperlink">
    <w:name w:val="Hyperlink"/>
    <w:basedOn w:val="DefaultParagraphFont"/>
    <w:uiPriority w:val="99"/>
    <w:rPr>
      <w:rFonts w:ascii="Times New Roman" w:hAnsi="Times New Roman" w:cs="Times New Roman"/>
      <w:color w:val="0000FF"/>
      <w:spacing w:val="0"/>
      <w:w w:val="100"/>
      <w:sz w:val="20"/>
      <w:szCs w:val="20"/>
      <w:u w:val="none"/>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enter">
    <w:name w:val="Body_Center"/>
    <w:pPr>
      <w:keepNext/>
      <w:tabs>
        <w:tab w:val="left" w:pos="720"/>
      </w:tabs>
      <w:suppressAutoHyphens/>
      <w:autoSpaceDE w:val="0"/>
      <w:autoSpaceDN w:val="0"/>
      <w:adjustRightInd w:val="0"/>
      <w:spacing w:before="140" w:after="140" w:line="200" w:lineRule="atLeast"/>
      <w:jc w:val="center"/>
    </w:pPr>
    <w:rPr>
      <w:rFonts w:ascii="Times New Roman" w:hAnsi="Times New Roman" w:cs="Times New Roman"/>
      <w:b/>
      <w:bCs/>
      <w:color w:val="000000"/>
      <w:w w:val="0"/>
      <w:sz w:val="20"/>
      <w:szCs w:val="20"/>
    </w:rPr>
  </w:style>
  <w:style w:type="paragraph" w:customStyle="1" w:styleId="IDAPATOC">
    <w:name w:val="IDAPA TOC"/>
    <w:next w:val="Center"/>
    <w:uiPriority w:val="99"/>
    <w:pPr>
      <w:keepNext/>
      <w:tabs>
        <w:tab w:val="left" w:pos="720"/>
      </w:tabs>
      <w:suppressAutoHyphens/>
      <w:autoSpaceDE w:val="0"/>
      <w:autoSpaceDN w:val="0"/>
      <w:adjustRightInd w:val="0"/>
      <w:spacing w:before="180" w:after="180" w:line="240" w:lineRule="atLeast"/>
      <w:jc w:val="center"/>
    </w:pPr>
    <w:rPr>
      <w:rFonts w:ascii="Arial" w:hAnsi="Arial" w:cs="Arial"/>
      <w:b/>
      <w:bCs/>
      <w:color w:val="000000"/>
      <w:w w:val="0"/>
      <w:sz w:val="24"/>
      <w:szCs w:val="24"/>
    </w:rPr>
  </w:style>
  <w:style w:type="paragraph" w:customStyle="1" w:styleId="Center">
    <w:name w:val="Center"/>
    <w:uiPriority w:val="99"/>
    <w:pPr>
      <w:keepNext/>
      <w:tabs>
        <w:tab w:val="left" w:pos="720"/>
      </w:tabs>
      <w:suppressAutoHyphens/>
      <w:autoSpaceDE w:val="0"/>
      <w:autoSpaceDN w:val="0"/>
      <w:adjustRightInd w:val="0"/>
      <w:spacing w:before="140" w:after="140" w:line="200" w:lineRule="atLeast"/>
      <w:jc w:val="center"/>
    </w:pPr>
    <w:rPr>
      <w:rFonts w:ascii="Arial" w:hAnsi="Arial" w:cs="Arial"/>
      <w:b/>
      <w:bCs/>
      <w:color w:val="000000"/>
      <w:w w:val="0"/>
      <w:sz w:val="20"/>
      <w:szCs w:val="20"/>
    </w:rPr>
  </w:style>
  <w:style w:type="paragraph" w:customStyle="1" w:styleId="CellHeading-9pt">
    <w:name w:val="CellHeading-9pt"/>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9pt">
    <w:name w:val="CellBody-9p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
    <w:name w:val="CellBody"/>
    <w:uiPriority w:val="99"/>
    <w:pPr>
      <w:widowControl w:val="0"/>
      <w:tabs>
        <w:tab w:val="left" w:pos="460"/>
      </w:tabs>
      <w:autoSpaceDE w:val="0"/>
      <w:autoSpaceDN w:val="0"/>
      <w:adjustRightInd w:val="0"/>
      <w:spacing w:after="0" w:line="220" w:lineRule="atLeast"/>
      <w:ind w:left="640" w:hanging="640"/>
    </w:pPr>
    <w:rPr>
      <w:rFonts w:ascii="Times New Roman" w:hAnsi="Times New Roman" w:cs="Times New Roman"/>
      <w:color w:val="000000"/>
      <w:w w:val="0"/>
      <w:sz w:val="18"/>
      <w:szCs w:val="18"/>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TitleTOC">
    <w:name w:val="Title TOC"/>
    <w:uiPriority w:val="99"/>
    <w:pPr>
      <w:keepNext/>
      <w:tabs>
        <w:tab w:val="left" w:pos="720"/>
      </w:tabs>
      <w:suppressAutoHyphens/>
      <w:autoSpaceDE w:val="0"/>
      <w:autoSpaceDN w:val="0"/>
      <w:adjustRightInd w:val="0"/>
      <w:spacing w:before="160" w:after="160" w:line="200" w:lineRule="atLeast"/>
      <w:jc w:val="center"/>
    </w:pPr>
    <w:rPr>
      <w:rFonts w:ascii="Arial" w:hAnsi="Arial" w:cs="Arial"/>
      <w:b/>
      <w:bCs/>
      <w:caps/>
      <w:color w:val="000000"/>
      <w:w w:val="0"/>
      <w:sz w:val="20"/>
      <w:szCs w:val="20"/>
    </w:rPr>
  </w:style>
  <w:style w:type="paragraph" w:customStyle="1" w:styleId="CellBody-9ptCenter">
    <w:name w:val="CellBody-9pt_Center"/>
    <w:uiPriority w:val="99"/>
    <w:pPr>
      <w:widowControl w:val="0"/>
      <w:tabs>
        <w:tab w:val="left" w:pos="460"/>
      </w:tabs>
      <w:autoSpaceDE w:val="0"/>
      <w:autoSpaceDN w:val="0"/>
      <w:adjustRightInd w:val="0"/>
      <w:spacing w:after="0" w:line="220" w:lineRule="atLeast"/>
      <w:jc w:val="center"/>
    </w:pPr>
    <w:rPr>
      <w:rFonts w:ascii="Arial" w:hAnsi="Arial" w:cs="Arial"/>
      <w:color w:val="000000"/>
      <w:w w:val="0"/>
      <w:sz w:val="18"/>
      <w:szCs w:val="18"/>
    </w:rPr>
  </w:style>
  <w:style w:type="paragraph" w:customStyle="1" w:styleId="CellBody-9ptIndent">
    <w:name w:val="CellBody-9pt_Indent"/>
    <w:uiPriority w:val="99"/>
    <w:pPr>
      <w:widowControl w:val="0"/>
      <w:tabs>
        <w:tab w:val="left" w:pos="460"/>
      </w:tabs>
      <w:suppressAutoHyphens/>
      <w:autoSpaceDE w:val="0"/>
      <w:autoSpaceDN w:val="0"/>
      <w:adjustRightInd w:val="0"/>
      <w:spacing w:after="0" w:line="220" w:lineRule="atLeast"/>
      <w:ind w:left="120" w:hanging="120"/>
    </w:pPr>
    <w:rPr>
      <w:rFonts w:ascii="Arial" w:hAnsi="Arial" w:cs="Arial"/>
      <w:color w:val="000000"/>
      <w:w w:val="0"/>
      <w:sz w:val="18"/>
      <w:szCs w:val="18"/>
    </w:rPr>
  </w:style>
  <w:style w:type="paragraph" w:customStyle="1" w:styleId="Body">
    <w:name w:val="Body"/>
    <w:uiPriority w:val="99"/>
    <w:pPr>
      <w:widowControl w:val="0"/>
      <w:tabs>
        <w:tab w:val="left" w:pos="720"/>
        <w:tab w:val="left" w:pos="1440"/>
        <w:tab w:val="right" w:pos="9360"/>
      </w:tabs>
      <w:suppressAutoHyphens/>
      <w:autoSpaceDE w:val="0"/>
      <w:autoSpaceDN w:val="0"/>
      <w:adjustRightInd w:val="0"/>
      <w:spacing w:after="0" w:line="200" w:lineRule="atLeast"/>
      <w:jc w:val="both"/>
    </w:pPr>
    <w:rPr>
      <w:rFonts w:ascii="Times New Roman" w:hAnsi="Times New Roman" w:cs="Times New Roman"/>
      <w:color w:val="000000"/>
      <w:w w:val="0"/>
      <w:sz w:val="20"/>
      <w:szCs w:val="20"/>
    </w:rPr>
  </w:style>
  <w:style w:type="paragraph" w:customStyle="1" w:styleId="SectionNameTOC">
    <w:name w:val="Section Name TOC"/>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SectionNameTOC2">
    <w:name w:val="Section Name TOC2"/>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character" w:customStyle="1" w:styleId="SiFiNamesTable">
    <w:name w:val="SiFiNames_Table"/>
    <w:uiPriority w:val="99"/>
    <w:rPr>
      <w:rFonts w:ascii="Arial" w:hAnsi="Arial" w:cs="Arial"/>
      <w:i/>
      <w:iCs/>
      <w:color w:val="000000"/>
      <w:spacing w:val="0"/>
      <w:w w:val="100"/>
      <w:sz w:val="18"/>
      <w:szCs w:val="18"/>
      <w:u w:val="none"/>
      <w:vertAlign w:val="baseline"/>
      <w:lang w:val="en-US"/>
    </w:rPr>
  </w:style>
  <w:style w:type="character" w:customStyle="1" w:styleId="Bold">
    <w:name w:val="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BoldItalics">
    <w:name w:val="Bold_Italics"/>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BodyBold">
    <w:name w:val="Body_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TableBold">
    <w:name w:val="Table_Bold"/>
    <w:uiPriority w:val="99"/>
    <w:rPr>
      <w:rFonts w:ascii="Arial" w:hAnsi="Arial" w:cs="Arial"/>
      <w:b/>
      <w:bCs/>
      <w:color w:val="000000"/>
      <w:spacing w:val="0"/>
      <w:w w:val="100"/>
      <w:sz w:val="18"/>
      <w:szCs w:val="18"/>
      <w:u w:val="none"/>
      <w:vertAlign w:val="baseline"/>
      <w:lang w:val="en-US"/>
    </w:rPr>
  </w:style>
  <w:style w:type="character" w:customStyle="1" w:styleId="SiFiBold">
    <w:name w:val="SiFi_Bold"/>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CellBodyBold">
    <w:name w:val="CellBody_Bold"/>
    <w:uiPriority w:val="99"/>
    <w:rPr>
      <w:rFonts w:ascii="Arial" w:hAnsi="Arial" w:cs="Arial"/>
      <w:b/>
      <w:bCs/>
      <w:color w:val="000000"/>
      <w:spacing w:val="0"/>
      <w:w w:val="100"/>
      <w:sz w:val="18"/>
      <w:szCs w:val="18"/>
      <w:u w:val="none"/>
      <w:vertAlign w:val="baseli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EquationVariables">
    <w:name w:val="EquationVariables"/>
    <w:uiPriority w:val="99"/>
    <w:rPr>
      <w:i/>
      <w:iCs/>
    </w:rPr>
  </w:style>
  <w:style w:type="character" w:customStyle="1" w:styleId="Italics">
    <w:name w:val="Italics"/>
    <w:uiPriority w:val="99"/>
    <w:rPr>
      <w:i/>
      <w:iCs/>
      <w:vertAlign w:val="baseline"/>
    </w:rPr>
  </w:style>
  <w:style w:type="character" w:customStyle="1" w:styleId="SectionNameSiFi">
    <w:name w:val="SectionNameSiFi"/>
    <w:uiPriority w:val="99"/>
    <w:rPr>
      <w:rFonts w:ascii="Times New Roman" w:hAnsi="Times New Roman" w:cs="Times New Roman"/>
      <w:b/>
      <w:bCs/>
      <w:i/>
      <w:iCs/>
      <w:caps/>
      <w:color w:val="000000"/>
      <w:spacing w:val="0"/>
      <w:w w:val="100"/>
      <w:sz w:val="20"/>
      <w:szCs w:val="20"/>
      <w:u w:val="none"/>
      <w:vertAlign w:val="baseline"/>
      <w:lang w:val="en-US"/>
    </w:rPr>
  </w:style>
  <w:style w:type="character" w:customStyle="1" w:styleId="SiFiNames">
    <w:name w:val="SiFiNames"/>
    <w:uiPriority w:val="99"/>
    <w:rPr>
      <w:rFonts w:ascii="Times New Roman" w:hAnsi="Times New Roman" w:cs="Times New Roman"/>
      <w:i/>
      <w:iCs/>
      <w:color w:val="000000"/>
      <w:spacing w:val="0"/>
      <w:w w:val="100"/>
      <w:sz w:val="20"/>
      <w:szCs w:val="20"/>
      <w:u w:val="none"/>
      <w:vertAlign w:val="baseline"/>
      <w:lang w:val="en-US"/>
    </w:rPr>
  </w:style>
  <w:style w:type="character" w:customStyle="1" w:styleId="SiFiNames0">
    <w:name w:val="SiFi_Names"/>
    <w:uiPriority w:val="99"/>
    <w:rPr>
      <w:rFonts w:ascii="Times New Roman" w:hAnsi="Times New Roman" w:cs="Times New Roman"/>
      <w:i/>
      <w:iCs/>
      <w:color w:val="000000"/>
      <w:spacing w:val="0"/>
      <w:w w:val="100"/>
      <w:sz w:val="20"/>
      <w:szCs w:val="20"/>
      <w:u w:val="none"/>
      <w:vertAlign w:val="baseline"/>
      <w:lang w:val="en-US"/>
    </w:rPr>
  </w:style>
  <w:style w:type="character" w:styleId="Hyperlink">
    <w:name w:val="Hyperlink"/>
    <w:basedOn w:val="DefaultParagraphFont"/>
    <w:uiPriority w:val="99"/>
    <w:rPr>
      <w:rFonts w:ascii="Times New Roman" w:hAnsi="Times New Roman" w:cs="Times New Roman"/>
      <w:color w:val="0000FF"/>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2014</Words>
  <Characters>13710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dstevens</dc:creator>
  <cp:lastModifiedBy>dstevens</cp:lastModifiedBy>
  <cp:revision>3</cp:revision>
  <dcterms:created xsi:type="dcterms:W3CDTF">2013-05-20T19:48:00Z</dcterms:created>
  <dcterms:modified xsi:type="dcterms:W3CDTF">2013-05-20T19:52:00Z</dcterms:modified>
</cp:coreProperties>
</file>