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546" w:rsidRDefault="00AC429D" w:rsidP="00AC429D">
      <w:pPr>
        <w:shd w:val="clear" w:color="auto" w:fill="FFFFFF"/>
        <w:spacing w:after="0" w:line="240" w:lineRule="atLeast"/>
        <w:ind w:firstLine="722"/>
        <w:jc w:val="both"/>
        <w:rPr>
          <w:rFonts w:ascii="Courier New" w:eastAsia="Times New Roman" w:hAnsi="Courier New" w:cs="Courier New"/>
          <w:color w:val="161616"/>
          <w:spacing w:val="5"/>
          <w:sz w:val="20"/>
          <w:szCs w:val="20"/>
        </w:rPr>
      </w:pPr>
      <w:r w:rsidRPr="00AC429D">
        <w:rPr>
          <w:rFonts w:ascii="Courier New" w:eastAsia="Times New Roman" w:hAnsi="Courier New" w:cs="Courier New"/>
          <w:color w:val="161616"/>
          <w:spacing w:val="5"/>
          <w:sz w:val="20"/>
          <w:szCs w:val="20"/>
        </w:rPr>
        <w:t>54-1227.  </w:t>
      </w:r>
      <w:r w:rsidRPr="00AC429D">
        <w:rPr>
          <w:rFonts w:ascii="Courier New" w:eastAsia="Times New Roman" w:hAnsi="Courier New" w:cs="Courier New"/>
          <w:caps/>
          <w:color w:val="161616"/>
          <w:spacing w:val="5"/>
          <w:sz w:val="20"/>
          <w:szCs w:val="20"/>
        </w:rPr>
        <w:t>Surveys — Authority and duties of professional land surveyors and professional engineers. </w:t>
      </w:r>
      <w:r w:rsidR="00290026" w:rsidRPr="00335546">
        <w:rPr>
          <w:rFonts w:ascii="Courier New" w:eastAsia="Times New Roman" w:hAnsi="Courier New" w:cs="Courier New"/>
          <w:caps/>
          <w:color w:val="161616"/>
          <w:spacing w:val="5"/>
          <w:sz w:val="20"/>
          <w:szCs w:val="20"/>
          <w:highlight w:val="yellow"/>
          <w:u w:val="single"/>
        </w:rPr>
        <w:t>(1)</w:t>
      </w:r>
      <w:r w:rsidRPr="00AC429D">
        <w:rPr>
          <w:rFonts w:ascii="Courier New" w:eastAsia="Times New Roman" w:hAnsi="Courier New" w:cs="Courier New"/>
          <w:color w:val="161616"/>
          <w:spacing w:val="5"/>
          <w:sz w:val="20"/>
          <w:szCs w:val="20"/>
        </w:rPr>
        <w:t xml:space="preserve">Every licensed professional land surveyor is hereby authorized to make land surveys and it shall be the duty of each licensed professional land surveyor, whenever making any professional boundary land survey as defined in section </w:t>
      </w:r>
      <w:hyperlink r:id="rId4" w:history="1">
        <w:r w:rsidRPr="00AC429D">
          <w:rPr>
            <w:rFonts w:ascii="Courier New" w:eastAsia="Times New Roman" w:hAnsi="Courier New" w:cs="Courier New"/>
            <w:color w:val="000000"/>
            <w:spacing w:val="5"/>
            <w:sz w:val="20"/>
            <w:szCs w:val="20"/>
          </w:rPr>
          <w:t>54-1202</w:t>
        </w:r>
      </w:hyperlink>
      <w:r w:rsidRPr="00AC429D">
        <w:rPr>
          <w:rFonts w:ascii="Courier New" w:eastAsia="Times New Roman" w:hAnsi="Courier New" w:cs="Courier New"/>
          <w:color w:val="161616"/>
          <w:spacing w:val="5"/>
          <w:sz w:val="20"/>
          <w:szCs w:val="20"/>
        </w:rPr>
        <w:t xml:space="preserve">, Idaho Code, that is not preliminary in nature, to set permanent and reliable magnetically detectable monuments at all </w:t>
      </w:r>
      <w:proofErr w:type="spellStart"/>
      <w:r w:rsidRPr="00AC429D">
        <w:rPr>
          <w:rFonts w:ascii="Courier New" w:eastAsia="Times New Roman" w:hAnsi="Courier New" w:cs="Courier New"/>
          <w:color w:val="161616"/>
          <w:spacing w:val="5"/>
          <w:sz w:val="20"/>
          <w:szCs w:val="20"/>
        </w:rPr>
        <w:t>unmonumented</w:t>
      </w:r>
      <w:proofErr w:type="spellEnd"/>
      <w:r w:rsidRPr="00AC429D">
        <w:rPr>
          <w:rFonts w:ascii="Courier New" w:eastAsia="Times New Roman" w:hAnsi="Courier New" w:cs="Courier New"/>
          <w:color w:val="161616"/>
          <w:spacing w:val="5"/>
          <w:sz w:val="20"/>
          <w:szCs w:val="20"/>
        </w:rPr>
        <w:t xml:space="preserve"> corners field located, the minimum size of which shall be one-half (1/2) inch in least dimension and two (2) feet long iron or steel rod</w:t>
      </w:r>
      <w:r w:rsidRPr="00AC429D">
        <w:rPr>
          <w:rFonts w:ascii="Courier New" w:eastAsia="Times New Roman" w:hAnsi="Courier New" w:cs="Courier New"/>
          <w:strike/>
          <w:color w:val="161616"/>
          <w:spacing w:val="5"/>
          <w:sz w:val="20"/>
          <w:szCs w:val="20"/>
        </w:rPr>
        <w:t xml:space="preserve"> </w:t>
      </w:r>
      <w:r w:rsidRPr="00335546">
        <w:rPr>
          <w:rFonts w:ascii="Courier New" w:eastAsia="Times New Roman" w:hAnsi="Courier New" w:cs="Courier New"/>
          <w:strike/>
          <w:color w:val="161616"/>
          <w:spacing w:val="5"/>
          <w:sz w:val="20"/>
          <w:szCs w:val="20"/>
          <w:highlight w:val="yellow"/>
        </w:rPr>
        <w:t>unless special circumstances preclude use of such monument;</w:t>
      </w:r>
      <w:r w:rsidRPr="00AC429D">
        <w:rPr>
          <w:rFonts w:ascii="Courier New" w:eastAsia="Times New Roman" w:hAnsi="Courier New" w:cs="Courier New"/>
          <w:strike/>
          <w:color w:val="161616"/>
          <w:spacing w:val="5"/>
          <w:sz w:val="20"/>
          <w:szCs w:val="20"/>
        </w:rPr>
        <w:t xml:space="preserve"> </w:t>
      </w:r>
      <w:r w:rsidRPr="00335546">
        <w:rPr>
          <w:rFonts w:ascii="Courier New" w:eastAsia="Times New Roman" w:hAnsi="Courier New" w:cs="Courier New"/>
          <w:strike/>
          <w:color w:val="161616"/>
          <w:spacing w:val="5"/>
          <w:sz w:val="20"/>
          <w:szCs w:val="20"/>
          <w:highlight w:val="yellow"/>
        </w:rPr>
        <w:t>and such</w:t>
      </w:r>
      <w:r w:rsidRPr="00335546">
        <w:rPr>
          <w:strike/>
          <w:sz w:val="23"/>
          <w:szCs w:val="23"/>
          <w:highlight w:val="yellow"/>
          <w:u w:val="single"/>
        </w:rPr>
        <w:t xml:space="preserve"> </w:t>
      </w:r>
      <w:r w:rsidRPr="00335546">
        <w:rPr>
          <w:rFonts w:ascii="Courier New" w:hAnsi="Courier New" w:cs="Courier New"/>
          <w:sz w:val="20"/>
          <w:szCs w:val="20"/>
          <w:highlight w:val="yellow"/>
          <w:u w:val="single"/>
        </w:rPr>
        <w:t xml:space="preserve">, </w:t>
      </w:r>
      <w:r w:rsidR="003B1F5A" w:rsidRPr="00335546">
        <w:rPr>
          <w:rFonts w:ascii="Courier New" w:hAnsi="Courier New" w:cs="Courier New"/>
          <w:sz w:val="20"/>
          <w:szCs w:val="20"/>
          <w:highlight w:val="yellow"/>
          <w:u w:val="single"/>
        </w:rPr>
        <w:t xml:space="preserve">or a metallic post or pipe </w:t>
      </w:r>
      <w:r w:rsidRPr="00335546">
        <w:rPr>
          <w:rFonts w:ascii="Courier New" w:hAnsi="Courier New" w:cs="Courier New"/>
          <w:sz w:val="20"/>
          <w:szCs w:val="20"/>
          <w:highlight w:val="yellow"/>
          <w:u w:val="single"/>
        </w:rPr>
        <w:t>one (1) inch in least dimension and two (2) feet long with minimum wall thickness of nominal one-eight (1/8) inch, or other more substantial monuments designed specifically for use as a survey monument.</w:t>
      </w:r>
      <w:r w:rsidRPr="00335546">
        <w:rPr>
          <w:rFonts w:ascii="Courier New" w:eastAsia="Times New Roman" w:hAnsi="Courier New" w:cs="Courier New"/>
          <w:color w:val="161616"/>
          <w:spacing w:val="5"/>
          <w:sz w:val="20"/>
          <w:szCs w:val="20"/>
          <w:highlight w:val="yellow"/>
          <w:u w:val="single"/>
        </w:rPr>
        <w:t xml:space="preserve"> Such</w:t>
      </w:r>
      <w:r>
        <w:rPr>
          <w:rFonts w:ascii="Courier New" w:eastAsia="Times New Roman" w:hAnsi="Courier New" w:cs="Courier New"/>
          <w:color w:val="161616"/>
          <w:spacing w:val="5"/>
          <w:sz w:val="20"/>
          <w:szCs w:val="20"/>
          <w:u w:val="single"/>
        </w:rPr>
        <w:t xml:space="preserve"> </w:t>
      </w:r>
      <w:r w:rsidRPr="00AC429D">
        <w:rPr>
          <w:rFonts w:ascii="Courier New" w:eastAsia="Times New Roman" w:hAnsi="Courier New" w:cs="Courier New"/>
          <w:color w:val="161616"/>
          <w:spacing w:val="5"/>
          <w:sz w:val="20"/>
          <w:szCs w:val="20"/>
        </w:rPr>
        <w:t xml:space="preserve">monuments must be </w:t>
      </w:r>
      <w:r w:rsidRPr="00335546">
        <w:rPr>
          <w:rFonts w:ascii="Courier New" w:hAnsi="Courier New" w:cs="Courier New"/>
          <w:sz w:val="20"/>
          <w:szCs w:val="20"/>
          <w:highlight w:val="yellow"/>
          <w:u w:val="single"/>
        </w:rPr>
        <w:t>substantially in the ground, stable, and</w:t>
      </w:r>
      <w:r>
        <w:rPr>
          <w:sz w:val="23"/>
          <w:szCs w:val="23"/>
        </w:rPr>
        <w:t xml:space="preserve"> </w:t>
      </w:r>
      <w:r w:rsidRPr="00AC429D">
        <w:rPr>
          <w:rFonts w:ascii="Courier New" w:eastAsia="Times New Roman" w:hAnsi="Courier New" w:cs="Courier New"/>
          <w:color w:val="161616"/>
          <w:spacing w:val="5"/>
          <w:sz w:val="20"/>
          <w:szCs w:val="20"/>
        </w:rPr>
        <w:t xml:space="preserve">permanently marked with the license number of the professional land surveyor responsible for placing the monument. </w:t>
      </w:r>
    </w:p>
    <w:p w:rsidR="00335546" w:rsidRDefault="00290026" w:rsidP="00AC429D">
      <w:pPr>
        <w:shd w:val="clear" w:color="auto" w:fill="FFFFFF"/>
        <w:spacing w:after="0" w:line="240" w:lineRule="atLeast"/>
        <w:ind w:firstLine="722"/>
        <w:jc w:val="both"/>
        <w:rPr>
          <w:rFonts w:ascii="Courier New" w:hAnsi="Courier New" w:cs="Courier New"/>
          <w:sz w:val="20"/>
          <w:szCs w:val="20"/>
          <w:highlight w:val="yellow"/>
        </w:rPr>
      </w:pPr>
      <w:r w:rsidRPr="00335546">
        <w:rPr>
          <w:rFonts w:ascii="Courier New" w:eastAsia="Times New Roman" w:hAnsi="Courier New" w:cs="Courier New"/>
          <w:color w:val="161616"/>
          <w:spacing w:val="5"/>
          <w:sz w:val="20"/>
          <w:szCs w:val="20"/>
          <w:highlight w:val="yellow"/>
          <w:u w:val="single"/>
        </w:rPr>
        <w:t>(</w:t>
      </w:r>
      <w:proofErr w:type="gramStart"/>
      <w:r w:rsidRPr="00335546">
        <w:rPr>
          <w:rFonts w:ascii="Courier New" w:eastAsia="Times New Roman" w:hAnsi="Courier New" w:cs="Courier New"/>
          <w:color w:val="161616"/>
          <w:spacing w:val="5"/>
          <w:sz w:val="20"/>
          <w:szCs w:val="20"/>
          <w:highlight w:val="yellow"/>
          <w:u w:val="single"/>
        </w:rPr>
        <w:t>2)</w:t>
      </w:r>
      <w:r w:rsidR="00AC429D" w:rsidRPr="00335546">
        <w:rPr>
          <w:rFonts w:ascii="Courier New" w:hAnsi="Courier New" w:cs="Courier New"/>
          <w:sz w:val="20"/>
          <w:szCs w:val="20"/>
          <w:highlight w:val="yellow"/>
          <w:u w:val="single"/>
        </w:rPr>
        <w:t>Where</w:t>
      </w:r>
      <w:proofErr w:type="gramEnd"/>
      <w:r w:rsidR="00AC429D" w:rsidRPr="00335546">
        <w:rPr>
          <w:rFonts w:ascii="Courier New" w:hAnsi="Courier New" w:cs="Courier New"/>
          <w:sz w:val="20"/>
          <w:szCs w:val="20"/>
          <w:highlight w:val="yellow"/>
          <w:u w:val="single"/>
        </w:rPr>
        <w:t xml:space="preserve"> special circumstances preclude use of such monuments, the professional land surveyor must place a</w:t>
      </w:r>
      <w:r w:rsidRPr="00335546">
        <w:rPr>
          <w:rFonts w:ascii="Courier New" w:hAnsi="Courier New" w:cs="Courier New"/>
          <w:sz w:val="20"/>
          <w:szCs w:val="20"/>
          <w:highlight w:val="yellow"/>
          <w:u w:val="single"/>
        </w:rPr>
        <w:t>n alternate,</w:t>
      </w:r>
      <w:r w:rsidR="00AC429D" w:rsidRPr="00335546">
        <w:rPr>
          <w:rFonts w:ascii="Courier New" w:hAnsi="Courier New" w:cs="Courier New"/>
          <w:sz w:val="20"/>
          <w:szCs w:val="20"/>
          <w:highlight w:val="yellow"/>
          <w:u w:val="single"/>
        </w:rPr>
        <w:t xml:space="preserve"> stable, permanent monument that is magnetically detectable, and marked with the license number of the professional land surveyor placing the monument.</w:t>
      </w:r>
      <w:r w:rsidR="00AC429D" w:rsidRPr="00335546">
        <w:rPr>
          <w:rFonts w:ascii="Courier New" w:hAnsi="Courier New" w:cs="Courier New"/>
          <w:sz w:val="20"/>
          <w:szCs w:val="20"/>
          <w:highlight w:val="yellow"/>
        </w:rPr>
        <w:t xml:space="preserve"> </w:t>
      </w:r>
    </w:p>
    <w:p w:rsidR="00335546" w:rsidRDefault="00290026" w:rsidP="00AC429D">
      <w:pPr>
        <w:shd w:val="clear" w:color="auto" w:fill="FFFFFF"/>
        <w:spacing w:after="0" w:line="240" w:lineRule="atLeast"/>
        <w:ind w:firstLine="722"/>
        <w:jc w:val="both"/>
        <w:rPr>
          <w:rFonts w:ascii="Courier New" w:hAnsi="Courier New" w:cs="Courier New"/>
          <w:sz w:val="20"/>
          <w:szCs w:val="20"/>
          <w:highlight w:val="yellow"/>
          <w:u w:val="single"/>
        </w:rPr>
      </w:pPr>
      <w:r w:rsidRPr="00335546">
        <w:rPr>
          <w:rFonts w:ascii="Courier New" w:hAnsi="Courier New" w:cs="Courier New"/>
          <w:sz w:val="20"/>
          <w:szCs w:val="20"/>
          <w:highlight w:val="yellow"/>
        </w:rPr>
        <w:t>(</w:t>
      </w:r>
      <w:proofErr w:type="gramStart"/>
      <w:r w:rsidRPr="00335546">
        <w:rPr>
          <w:rFonts w:ascii="Courier New" w:hAnsi="Courier New" w:cs="Courier New"/>
          <w:sz w:val="20"/>
          <w:szCs w:val="20"/>
          <w:highlight w:val="yellow"/>
        </w:rPr>
        <w:t>3)</w:t>
      </w:r>
      <w:r w:rsidR="00BC4C7B" w:rsidRPr="0053152B">
        <w:rPr>
          <w:rFonts w:ascii="Courier New" w:hAnsi="Courier New" w:cs="Courier New"/>
          <w:sz w:val="20"/>
          <w:szCs w:val="20"/>
          <w:highlight w:val="yellow"/>
          <w:u w:val="single"/>
        </w:rPr>
        <w:t>Where</w:t>
      </w:r>
      <w:proofErr w:type="gramEnd"/>
      <w:r w:rsidR="00BC4C7B" w:rsidRPr="0053152B">
        <w:rPr>
          <w:rFonts w:ascii="Courier New" w:hAnsi="Courier New" w:cs="Courier New"/>
          <w:sz w:val="20"/>
          <w:szCs w:val="20"/>
          <w:highlight w:val="yellow"/>
          <w:u w:val="single"/>
        </w:rPr>
        <w:t xml:space="preserve"> the corner position cannot be monumented </w:t>
      </w:r>
      <w:r w:rsidR="00BC4C7B" w:rsidRPr="00884447">
        <w:rPr>
          <w:rFonts w:ascii="Courier New" w:hAnsi="Courier New" w:cs="Courier New"/>
          <w:sz w:val="20"/>
          <w:szCs w:val="20"/>
          <w:highlight w:val="yellow"/>
          <w:u w:val="single"/>
        </w:rPr>
        <w:t>due to special circumstances</w:t>
      </w:r>
      <w:r w:rsidR="00BC4C7B" w:rsidRPr="0053152B">
        <w:rPr>
          <w:rFonts w:ascii="Courier New" w:hAnsi="Courier New" w:cs="Courier New"/>
          <w:sz w:val="20"/>
          <w:szCs w:val="20"/>
          <w:highlight w:val="yellow"/>
          <w:u w:val="single"/>
        </w:rPr>
        <w:t xml:space="preserve">, the professional land surveyor must </w:t>
      </w:r>
      <w:r w:rsidR="00884447">
        <w:rPr>
          <w:rFonts w:ascii="Courier New" w:hAnsi="Courier New" w:cs="Courier New"/>
          <w:sz w:val="20"/>
          <w:szCs w:val="20"/>
          <w:highlight w:val="yellow"/>
          <w:u w:val="single"/>
        </w:rPr>
        <w:t xml:space="preserve">establish </w:t>
      </w:r>
      <w:r w:rsidR="00BC4C7B" w:rsidRPr="0053152B">
        <w:rPr>
          <w:rFonts w:ascii="Courier New" w:hAnsi="Courier New" w:cs="Courier New"/>
          <w:sz w:val="20"/>
          <w:szCs w:val="20"/>
          <w:highlight w:val="yellow"/>
          <w:u w:val="single"/>
        </w:rPr>
        <w:t>reference monuments or a witness corner</w:t>
      </w:r>
      <w:r w:rsidR="00884447">
        <w:rPr>
          <w:rFonts w:ascii="Courier New" w:hAnsi="Courier New" w:cs="Courier New"/>
          <w:sz w:val="20"/>
          <w:szCs w:val="20"/>
          <w:highlight w:val="yellow"/>
          <w:u w:val="single"/>
        </w:rPr>
        <w:t xml:space="preserve"> and mark them as such</w:t>
      </w:r>
      <w:r w:rsidR="00BC4C7B" w:rsidRPr="00335546">
        <w:rPr>
          <w:rFonts w:ascii="Courier New" w:hAnsi="Courier New" w:cs="Courier New"/>
          <w:sz w:val="20"/>
          <w:szCs w:val="20"/>
          <w:highlight w:val="yellow"/>
          <w:u w:val="single"/>
        </w:rPr>
        <w:t xml:space="preserve">. </w:t>
      </w:r>
    </w:p>
    <w:p w:rsidR="00AF4EB1" w:rsidRDefault="00502B13" w:rsidP="00AC429D">
      <w:pPr>
        <w:shd w:val="clear" w:color="auto" w:fill="FFFFFF"/>
        <w:spacing w:after="0" w:line="240" w:lineRule="atLeast"/>
        <w:ind w:firstLine="722"/>
        <w:jc w:val="both"/>
        <w:rPr>
          <w:rFonts w:ascii="Courier New" w:hAnsi="Courier New" w:cs="Courier New"/>
          <w:sz w:val="20"/>
          <w:szCs w:val="20"/>
          <w:highlight w:val="yellow"/>
          <w:u w:val="single"/>
        </w:rPr>
      </w:pPr>
      <w:r w:rsidRPr="00335546">
        <w:rPr>
          <w:rFonts w:ascii="Courier New" w:hAnsi="Courier New" w:cs="Courier New"/>
          <w:sz w:val="20"/>
          <w:szCs w:val="20"/>
          <w:highlight w:val="yellow"/>
          <w:u w:val="single"/>
        </w:rPr>
        <w:t xml:space="preserve">(4) </w:t>
      </w:r>
      <w:r w:rsidR="00AC429D" w:rsidRPr="00335546">
        <w:rPr>
          <w:rFonts w:ascii="Courier New" w:hAnsi="Courier New" w:cs="Courier New"/>
          <w:sz w:val="20"/>
          <w:szCs w:val="20"/>
          <w:highlight w:val="yellow"/>
          <w:u w:val="single"/>
        </w:rPr>
        <w:t xml:space="preserve">Any found non-magnetically detectable monument must be remonumented with a magnetically detectable monument compliant with </w:t>
      </w:r>
      <w:r w:rsidR="00290026" w:rsidRPr="00335546">
        <w:rPr>
          <w:rFonts w:ascii="Courier New" w:hAnsi="Courier New" w:cs="Courier New"/>
          <w:sz w:val="20"/>
          <w:szCs w:val="20"/>
          <w:highlight w:val="yellow"/>
          <w:u w:val="single"/>
        </w:rPr>
        <w:t>sub</w:t>
      </w:r>
      <w:r w:rsidR="00AC429D" w:rsidRPr="00335546">
        <w:rPr>
          <w:rFonts w:ascii="Courier New" w:hAnsi="Courier New" w:cs="Courier New"/>
          <w:sz w:val="20"/>
          <w:szCs w:val="20"/>
          <w:highlight w:val="yellow"/>
          <w:u w:val="single"/>
        </w:rPr>
        <w:t>section</w:t>
      </w:r>
      <w:r w:rsidR="00290026" w:rsidRPr="00335546">
        <w:rPr>
          <w:rFonts w:ascii="Courier New" w:hAnsi="Courier New" w:cs="Courier New"/>
          <w:sz w:val="20"/>
          <w:szCs w:val="20"/>
          <w:highlight w:val="yellow"/>
          <w:u w:val="single"/>
        </w:rPr>
        <w:t xml:space="preserve"> (1)</w:t>
      </w:r>
      <w:r w:rsidRPr="00335546">
        <w:rPr>
          <w:rFonts w:ascii="Courier New" w:hAnsi="Courier New" w:cs="Courier New"/>
          <w:sz w:val="20"/>
          <w:szCs w:val="20"/>
          <w:highlight w:val="yellow"/>
          <w:u w:val="single"/>
        </w:rPr>
        <w:t xml:space="preserve"> of this section</w:t>
      </w:r>
      <w:r w:rsidR="00AC429D" w:rsidRPr="00335546">
        <w:rPr>
          <w:rFonts w:ascii="Courier New" w:hAnsi="Courier New" w:cs="Courier New"/>
          <w:sz w:val="20"/>
          <w:szCs w:val="20"/>
          <w:highlight w:val="yellow"/>
          <w:u w:val="single"/>
        </w:rPr>
        <w:t>.</w:t>
      </w:r>
      <w:r w:rsidR="00BC4C7B" w:rsidRPr="00335546">
        <w:rPr>
          <w:rFonts w:ascii="Courier New" w:hAnsi="Courier New" w:cs="Courier New"/>
          <w:sz w:val="20"/>
          <w:szCs w:val="20"/>
          <w:highlight w:val="yellow"/>
          <w:u w:val="single"/>
        </w:rPr>
        <w:t xml:space="preserve"> </w:t>
      </w:r>
    </w:p>
    <w:p w:rsidR="00AC429D" w:rsidRPr="00AC429D" w:rsidRDefault="00AC429D" w:rsidP="00AC429D">
      <w:pPr>
        <w:shd w:val="clear" w:color="auto" w:fill="FFFFFF"/>
        <w:spacing w:after="0" w:line="240" w:lineRule="atLeast"/>
        <w:ind w:firstLine="722"/>
        <w:jc w:val="both"/>
        <w:rPr>
          <w:rFonts w:ascii="Noto Serif" w:eastAsia="Times New Roman" w:hAnsi="Noto Serif" w:cs="Arial"/>
          <w:color w:val="161616"/>
          <w:spacing w:val="5"/>
          <w:sz w:val="20"/>
          <w:szCs w:val="20"/>
        </w:rPr>
      </w:pPr>
      <w:proofErr w:type="gramStart"/>
      <w:r w:rsidRPr="00335546">
        <w:rPr>
          <w:rFonts w:ascii="Courier New" w:eastAsia="Times New Roman" w:hAnsi="Courier New" w:cs="Courier New"/>
          <w:strike/>
          <w:color w:val="161616"/>
          <w:spacing w:val="5"/>
          <w:sz w:val="20"/>
          <w:szCs w:val="20"/>
          <w:highlight w:val="yellow"/>
        </w:rPr>
        <w:t>Professional</w:t>
      </w:r>
      <w:r w:rsidR="00502B13" w:rsidRPr="00335546">
        <w:rPr>
          <w:rFonts w:ascii="Courier New" w:eastAsia="Times New Roman" w:hAnsi="Courier New" w:cs="Courier New"/>
          <w:color w:val="161616"/>
          <w:spacing w:val="5"/>
          <w:sz w:val="20"/>
          <w:szCs w:val="20"/>
          <w:highlight w:val="yellow"/>
          <w:u w:val="single"/>
        </w:rPr>
        <w:t>(</w:t>
      </w:r>
      <w:proofErr w:type="gramEnd"/>
      <w:r w:rsidR="00502B13" w:rsidRPr="00335546">
        <w:rPr>
          <w:rFonts w:ascii="Courier New" w:eastAsia="Times New Roman" w:hAnsi="Courier New" w:cs="Courier New"/>
          <w:color w:val="161616"/>
          <w:spacing w:val="5"/>
          <w:sz w:val="20"/>
          <w:szCs w:val="20"/>
          <w:highlight w:val="yellow"/>
          <w:u w:val="single"/>
        </w:rPr>
        <w:t>5)</w:t>
      </w:r>
      <w:r w:rsidR="00A2426A" w:rsidRPr="00335546">
        <w:rPr>
          <w:rFonts w:ascii="Courier New" w:eastAsia="Times New Roman" w:hAnsi="Courier New" w:cs="Courier New"/>
          <w:color w:val="161616"/>
          <w:spacing w:val="5"/>
          <w:sz w:val="20"/>
          <w:szCs w:val="20"/>
          <w:highlight w:val="yellow"/>
          <w:u w:val="single"/>
        </w:rPr>
        <w:t>Except for professional boundary land surveys, professional</w:t>
      </w:r>
      <w:r w:rsidRPr="00AC429D">
        <w:rPr>
          <w:rFonts w:ascii="Courier New" w:eastAsia="Times New Roman" w:hAnsi="Courier New" w:cs="Courier New"/>
          <w:color w:val="161616"/>
          <w:spacing w:val="5"/>
          <w:sz w:val="20"/>
          <w:szCs w:val="20"/>
        </w:rPr>
        <w:t xml:space="preserve"> engineers qualified and duly licensed pursuant to this chapter may also perform those </w:t>
      </w:r>
      <w:r w:rsidR="00A2426A" w:rsidRPr="00633DF4">
        <w:rPr>
          <w:rFonts w:ascii="Courier New" w:eastAsia="Times New Roman" w:hAnsi="Courier New" w:cs="Courier New"/>
          <w:color w:val="161616"/>
          <w:spacing w:val="5"/>
          <w:sz w:val="20"/>
          <w:szCs w:val="20"/>
          <w:highlight w:val="yellow"/>
          <w:u w:val="single"/>
        </w:rPr>
        <w:t xml:space="preserve">other </w:t>
      </w:r>
      <w:r w:rsidRPr="00AC429D">
        <w:rPr>
          <w:rFonts w:ascii="Courier New" w:eastAsia="Times New Roman" w:hAnsi="Courier New" w:cs="Courier New"/>
          <w:color w:val="161616"/>
          <w:spacing w:val="5"/>
          <w:sz w:val="20"/>
          <w:szCs w:val="20"/>
        </w:rPr>
        <w:t xml:space="preserve">surveys necessary and incidental to </w:t>
      </w:r>
      <w:r w:rsidR="00E73FD8" w:rsidRPr="00E73FD8">
        <w:rPr>
          <w:rFonts w:ascii="Courier New" w:eastAsia="Times New Roman" w:hAnsi="Courier New" w:cs="Courier New"/>
          <w:strike/>
          <w:color w:val="161616"/>
          <w:spacing w:val="5"/>
          <w:sz w:val="20"/>
          <w:szCs w:val="20"/>
          <w:highlight w:val="yellow"/>
        </w:rPr>
        <w:t>the work customarily performed by them</w:t>
      </w:r>
      <w:r w:rsidR="00E73FD8">
        <w:rPr>
          <w:rFonts w:ascii="Courier New" w:eastAsia="Times New Roman" w:hAnsi="Courier New" w:cs="Courier New"/>
          <w:strike/>
          <w:color w:val="161616"/>
          <w:spacing w:val="5"/>
          <w:sz w:val="20"/>
          <w:szCs w:val="20"/>
        </w:rPr>
        <w:t xml:space="preserve"> </w:t>
      </w:r>
      <w:r w:rsidR="00502B13" w:rsidRPr="00335546">
        <w:rPr>
          <w:rFonts w:ascii="Courier New" w:eastAsia="Times New Roman" w:hAnsi="Courier New" w:cs="Courier New"/>
          <w:color w:val="161616"/>
          <w:spacing w:val="5"/>
          <w:sz w:val="20"/>
          <w:szCs w:val="20"/>
          <w:highlight w:val="yellow"/>
          <w:u w:val="single"/>
        </w:rPr>
        <w:t>their work</w:t>
      </w:r>
      <w:r w:rsidRPr="00AC429D">
        <w:rPr>
          <w:rFonts w:ascii="Courier New" w:eastAsia="Times New Roman" w:hAnsi="Courier New" w:cs="Courier New"/>
          <w:color w:val="161616"/>
          <w:spacing w:val="5"/>
          <w:sz w:val="20"/>
          <w:szCs w:val="20"/>
        </w:rPr>
        <w:t>.</w:t>
      </w:r>
    </w:p>
    <w:p w:rsidR="00AC429D" w:rsidRPr="00AC429D" w:rsidRDefault="00AC429D" w:rsidP="00AC429D">
      <w:pPr>
        <w:shd w:val="clear" w:color="auto" w:fill="FFFFFF"/>
        <w:spacing w:after="0" w:line="240" w:lineRule="atLeast"/>
        <w:jc w:val="both"/>
        <w:rPr>
          <w:rFonts w:ascii="Noto Serif" w:eastAsia="Times New Roman" w:hAnsi="Noto Serif" w:cs="Arial"/>
          <w:color w:val="161616"/>
          <w:spacing w:val="5"/>
          <w:sz w:val="20"/>
          <w:szCs w:val="20"/>
        </w:rPr>
      </w:pPr>
      <w:r w:rsidRPr="00AC429D">
        <w:rPr>
          <w:rFonts w:ascii="Courier New" w:eastAsia="Times New Roman" w:hAnsi="Courier New" w:cs="Courier New"/>
          <w:color w:val="161616"/>
          <w:spacing w:val="5"/>
        </w:rPr>
        <w:t>History:</w:t>
      </w:r>
    </w:p>
    <w:p w:rsidR="00AC429D" w:rsidRPr="00AC429D" w:rsidRDefault="00AC429D" w:rsidP="00AC429D">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AC429D">
        <w:rPr>
          <w:rFonts w:ascii="Courier New" w:eastAsia="Times New Roman" w:hAnsi="Courier New" w:cs="Courier New"/>
          <w:color w:val="161616"/>
          <w:spacing w:val="5"/>
          <w:sz w:val="20"/>
          <w:szCs w:val="20"/>
        </w:rPr>
        <w:t xml:space="preserve">[(54-1227) 1903, p. 81, sec. 7; </w:t>
      </w:r>
      <w:proofErr w:type="spellStart"/>
      <w:r w:rsidRPr="00AC429D">
        <w:rPr>
          <w:rFonts w:ascii="Courier New" w:eastAsia="Times New Roman" w:hAnsi="Courier New" w:cs="Courier New"/>
          <w:color w:val="161616"/>
          <w:spacing w:val="5"/>
          <w:sz w:val="20"/>
          <w:szCs w:val="20"/>
        </w:rPr>
        <w:t>reen</w:t>
      </w:r>
      <w:proofErr w:type="spellEnd"/>
      <w:r w:rsidRPr="00AC429D">
        <w:rPr>
          <w:rFonts w:ascii="Courier New" w:eastAsia="Times New Roman" w:hAnsi="Courier New" w:cs="Courier New"/>
          <w:color w:val="161616"/>
          <w:spacing w:val="5"/>
          <w:sz w:val="20"/>
          <w:szCs w:val="20"/>
        </w:rPr>
        <w:t>. R.C. &amp; C.L., sec</w:t>
      </w:r>
      <w:bookmarkStart w:id="0" w:name="_GoBack"/>
      <w:bookmarkEnd w:id="0"/>
      <w:r w:rsidRPr="00AC429D">
        <w:rPr>
          <w:rFonts w:ascii="Courier New" w:eastAsia="Times New Roman" w:hAnsi="Courier New" w:cs="Courier New"/>
          <w:color w:val="161616"/>
          <w:spacing w:val="5"/>
          <w:sz w:val="20"/>
          <w:szCs w:val="20"/>
        </w:rPr>
        <w:t xml:space="preserve">. 1408; C.S., sec. 2240; am. 1921,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158, sec. 1, p. 351; I.C.A., sec. 53-2306; am. 1957,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234, sec. 17, p. 547; am. 1978,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170, sec. 20, p. 388; am. 1986,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140, sec. 22, p. 395; am. 1992,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61, sec. 2, p. 194; am. 1996,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357, sec. 19, p. 1202; am. 2008,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378, sec. 22, p. 1043; am. 2011,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136, sec. 11, p. 391; am. 2015, </w:t>
      </w:r>
      <w:proofErr w:type="spellStart"/>
      <w:r w:rsidRPr="00AC429D">
        <w:rPr>
          <w:rFonts w:ascii="Courier New" w:eastAsia="Times New Roman" w:hAnsi="Courier New" w:cs="Courier New"/>
          <w:color w:val="161616"/>
          <w:spacing w:val="5"/>
          <w:sz w:val="20"/>
          <w:szCs w:val="20"/>
        </w:rPr>
        <w:t>ch.</w:t>
      </w:r>
      <w:proofErr w:type="spellEnd"/>
      <w:r w:rsidRPr="00AC429D">
        <w:rPr>
          <w:rFonts w:ascii="Courier New" w:eastAsia="Times New Roman" w:hAnsi="Courier New" w:cs="Courier New"/>
          <w:color w:val="161616"/>
          <w:spacing w:val="5"/>
          <w:sz w:val="20"/>
          <w:szCs w:val="20"/>
        </w:rPr>
        <w:t xml:space="preserve"> 116, sec. 2, p. 302.]</w:t>
      </w:r>
      <w:bookmarkStart w:id="1" w:name="a46"/>
      <w:bookmarkEnd w:id="1"/>
    </w:p>
    <w:p w:rsidR="00CB69F9" w:rsidRDefault="00CB69F9"/>
    <w:sectPr w:rsidR="00CB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9D"/>
    <w:rsid w:val="00290026"/>
    <w:rsid w:val="00335546"/>
    <w:rsid w:val="003B1F5A"/>
    <w:rsid w:val="00502B13"/>
    <w:rsid w:val="0053152B"/>
    <w:rsid w:val="00633DF4"/>
    <w:rsid w:val="00756714"/>
    <w:rsid w:val="00884447"/>
    <w:rsid w:val="009F097E"/>
    <w:rsid w:val="00A2426A"/>
    <w:rsid w:val="00A97F21"/>
    <w:rsid w:val="00AA61D6"/>
    <w:rsid w:val="00AC429D"/>
    <w:rsid w:val="00AF4EB1"/>
    <w:rsid w:val="00BC4C7B"/>
    <w:rsid w:val="00CB69F9"/>
    <w:rsid w:val="00D2245A"/>
    <w:rsid w:val="00D751DA"/>
    <w:rsid w:val="00E7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6709"/>
  <w15:chartTrackingRefBased/>
  <w15:docId w15:val="{A1EE7996-2FE2-413F-836C-17524DC9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38478">
      <w:bodyDiv w:val="1"/>
      <w:marLeft w:val="0"/>
      <w:marRight w:val="0"/>
      <w:marTop w:val="0"/>
      <w:marBottom w:val="0"/>
      <w:divBdr>
        <w:top w:val="none" w:sz="0" w:space="0" w:color="auto"/>
        <w:left w:val="none" w:sz="0" w:space="0" w:color="auto"/>
        <w:bottom w:val="none" w:sz="0" w:space="0" w:color="auto"/>
        <w:right w:val="none" w:sz="0" w:space="0" w:color="auto"/>
      </w:divBdr>
      <w:divsChild>
        <w:div w:id="275186794">
          <w:marLeft w:val="0"/>
          <w:marRight w:val="0"/>
          <w:marTop w:val="0"/>
          <w:marBottom w:val="0"/>
          <w:divBdr>
            <w:top w:val="none" w:sz="0" w:space="0" w:color="auto"/>
            <w:left w:val="none" w:sz="0" w:space="0" w:color="auto"/>
            <w:bottom w:val="none" w:sz="0" w:space="0" w:color="auto"/>
            <w:right w:val="none" w:sz="0" w:space="0" w:color="auto"/>
          </w:divBdr>
          <w:divsChild>
            <w:div w:id="816651009">
              <w:marLeft w:val="-225"/>
              <w:marRight w:val="-225"/>
              <w:marTop w:val="0"/>
              <w:marBottom w:val="0"/>
              <w:divBdr>
                <w:top w:val="none" w:sz="0" w:space="0" w:color="auto"/>
                <w:left w:val="none" w:sz="0" w:space="0" w:color="auto"/>
                <w:bottom w:val="none" w:sz="0" w:space="0" w:color="auto"/>
                <w:right w:val="none" w:sz="0" w:space="0" w:color="auto"/>
              </w:divBdr>
              <w:divsChild>
                <w:div w:id="1307470453">
                  <w:marLeft w:val="0"/>
                  <w:marRight w:val="0"/>
                  <w:marTop w:val="0"/>
                  <w:marBottom w:val="0"/>
                  <w:divBdr>
                    <w:top w:val="none" w:sz="0" w:space="0" w:color="auto"/>
                    <w:left w:val="none" w:sz="0" w:space="0" w:color="auto"/>
                    <w:bottom w:val="none" w:sz="0" w:space="0" w:color="auto"/>
                    <w:right w:val="none" w:sz="0" w:space="0" w:color="auto"/>
                  </w:divBdr>
                  <w:divsChild>
                    <w:div w:id="328943243">
                      <w:marLeft w:val="-225"/>
                      <w:marRight w:val="-225"/>
                      <w:marTop w:val="0"/>
                      <w:marBottom w:val="0"/>
                      <w:divBdr>
                        <w:top w:val="none" w:sz="0" w:space="0" w:color="auto"/>
                        <w:left w:val="none" w:sz="0" w:space="0" w:color="auto"/>
                        <w:bottom w:val="none" w:sz="0" w:space="0" w:color="auto"/>
                        <w:right w:val="none" w:sz="0" w:space="0" w:color="auto"/>
                      </w:divBdr>
                      <w:divsChild>
                        <w:div w:id="1964143358">
                          <w:marLeft w:val="0"/>
                          <w:marRight w:val="0"/>
                          <w:marTop w:val="0"/>
                          <w:marBottom w:val="0"/>
                          <w:divBdr>
                            <w:top w:val="none" w:sz="0" w:space="0" w:color="auto"/>
                            <w:left w:val="none" w:sz="0" w:space="0" w:color="auto"/>
                            <w:bottom w:val="none" w:sz="0" w:space="0" w:color="auto"/>
                            <w:right w:val="none" w:sz="0" w:space="0" w:color="auto"/>
                          </w:divBdr>
                          <w:divsChild>
                            <w:div w:id="1824731479">
                              <w:marLeft w:val="0"/>
                              <w:marRight w:val="0"/>
                              <w:marTop w:val="0"/>
                              <w:marBottom w:val="0"/>
                              <w:divBdr>
                                <w:top w:val="none" w:sz="0" w:space="0" w:color="auto"/>
                                <w:left w:val="none" w:sz="0" w:space="0" w:color="auto"/>
                                <w:bottom w:val="none" w:sz="0" w:space="0" w:color="auto"/>
                                <w:right w:val="none" w:sz="0" w:space="0" w:color="auto"/>
                              </w:divBdr>
                              <w:divsChild>
                                <w:div w:id="10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islature.idaho.gov/statutesrules/idstat/Title54/T54CH12/SECT54-1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Simila</dc:creator>
  <cp:keywords/>
  <dc:description/>
  <cp:lastModifiedBy>Keith Simila</cp:lastModifiedBy>
  <cp:revision>4</cp:revision>
  <dcterms:created xsi:type="dcterms:W3CDTF">2019-08-07T15:27:00Z</dcterms:created>
  <dcterms:modified xsi:type="dcterms:W3CDTF">2019-08-07T15:41:00Z</dcterms:modified>
</cp:coreProperties>
</file>